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4E40D" w14:textId="202FA265" w:rsidR="003F2D6A" w:rsidRPr="001258E9" w:rsidRDefault="003F2D6A" w:rsidP="001258E9">
      <w:pPr>
        <w:jc w:val="center"/>
        <w:rPr>
          <w:rFonts w:ascii="Garamond" w:hAnsi="Garamond"/>
          <w:b/>
          <w:sz w:val="32"/>
          <w:szCs w:val="32"/>
        </w:rPr>
      </w:pPr>
      <w:r w:rsidRPr="001258E9">
        <w:rPr>
          <w:rFonts w:ascii="Garamond" w:hAnsi="Garamond"/>
          <w:b/>
          <w:sz w:val="32"/>
          <w:szCs w:val="32"/>
        </w:rPr>
        <w:t xml:space="preserve">Tourism concession guidelines for </w:t>
      </w:r>
      <w:proofErr w:type="spellStart"/>
      <w:r w:rsidR="007241D0" w:rsidRPr="001258E9">
        <w:rPr>
          <w:rFonts w:ascii="Garamond" w:hAnsi="Garamond"/>
          <w:b/>
          <w:sz w:val="32"/>
          <w:szCs w:val="32"/>
        </w:rPr>
        <w:t>trans</w:t>
      </w:r>
      <w:r w:rsidR="007241D0">
        <w:rPr>
          <w:rFonts w:ascii="Garamond" w:hAnsi="Garamond"/>
          <w:b/>
          <w:sz w:val="32"/>
          <w:szCs w:val="32"/>
        </w:rPr>
        <w:t>frontier</w:t>
      </w:r>
      <w:proofErr w:type="spellEnd"/>
      <w:r w:rsidR="007241D0">
        <w:rPr>
          <w:rFonts w:ascii="Garamond" w:hAnsi="Garamond"/>
          <w:b/>
          <w:sz w:val="32"/>
          <w:szCs w:val="32"/>
        </w:rPr>
        <w:t xml:space="preserve"> </w:t>
      </w:r>
      <w:r w:rsidRPr="001258E9">
        <w:rPr>
          <w:rFonts w:ascii="Garamond" w:hAnsi="Garamond"/>
          <w:b/>
          <w:sz w:val="32"/>
          <w:szCs w:val="32"/>
        </w:rPr>
        <w:t>conservation areas</w:t>
      </w:r>
      <w:r w:rsidR="00DD41DA">
        <w:rPr>
          <w:rFonts w:ascii="Garamond" w:hAnsi="Garamond"/>
          <w:b/>
          <w:sz w:val="32"/>
          <w:szCs w:val="32"/>
        </w:rPr>
        <w:t xml:space="preserve"> in SADC</w:t>
      </w:r>
    </w:p>
    <w:p w14:paraId="37CF0A64" w14:textId="763AEE29" w:rsidR="002B31FF" w:rsidRDefault="00C457CF" w:rsidP="001258E9">
      <w:pPr>
        <w:jc w:val="center"/>
        <w:rPr>
          <w:rFonts w:ascii="Garamond" w:hAnsi="Garamond"/>
        </w:rPr>
      </w:pPr>
      <w:r>
        <w:rPr>
          <w:rFonts w:ascii="Garamond" w:hAnsi="Garamond"/>
        </w:rPr>
        <w:t>Guideline plan post review:</w:t>
      </w:r>
      <w:r w:rsidR="003F2D6A">
        <w:rPr>
          <w:rFonts w:ascii="Garamond" w:hAnsi="Garamond"/>
        </w:rPr>
        <w:t xml:space="preserve"> </w:t>
      </w:r>
      <w:r w:rsidR="002C5EA2">
        <w:rPr>
          <w:rFonts w:ascii="Garamond" w:hAnsi="Garamond"/>
        </w:rPr>
        <w:t>15</w:t>
      </w:r>
      <w:r w:rsidR="002B31FF" w:rsidRPr="001D7E6B">
        <w:rPr>
          <w:rFonts w:ascii="Garamond" w:hAnsi="Garamond"/>
        </w:rPr>
        <w:t xml:space="preserve"> July 2014</w:t>
      </w:r>
    </w:p>
    <w:p w14:paraId="1D0A6B6A" w14:textId="33C78099" w:rsidR="001258E9" w:rsidRPr="001D7E6B" w:rsidRDefault="001258E9" w:rsidP="001258E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Anna </w:t>
      </w:r>
      <w:proofErr w:type="spellStart"/>
      <w:r>
        <w:rPr>
          <w:rFonts w:ascii="Garamond" w:hAnsi="Garamond"/>
        </w:rPr>
        <w:t>Spenceley</w:t>
      </w:r>
      <w:proofErr w:type="spellEnd"/>
      <w:r>
        <w:rPr>
          <w:rFonts w:ascii="Garamond" w:hAnsi="Garamond"/>
        </w:rPr>
        <w:t>: annaspenceley@gmail.com</w:t>
      </w:r>
    </w:p>
    <w:p w14:paraId="1CCE5D32" w14:textId="77777777" w:rsidR="002B31FF" w:rsidRPr="001D7E6B" w:rsidRDefault="002B31FF">
      <w:pPr>
        <w:rPr>
          <w:rFonts w:ascii="Garamond" w:hAnsi="Garamond"/>
        </w:rPr>
      </w:pPr>
    </w:p>
    <w:p w14:paraId="4EB8BCFF" w14:textId="77777777" w:rsidR="001D7E6B" w:rsidRDefault="001D7E6B">
      <w:pPr>
        <w:rPr>
          <w:rFonts w:ascii="Garamond" w:hAnsi="Garamond"/>
        </w:rPr>
      </w:pPr>
      <w:bookmarkStart w:id="0" w:name="_GoBack"/>
      <w:bookmarkEnd w:id="0"/>
    </w:p>
    <w:p w14:paraId="10E3930C" w14:textId="76CBA585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1. </w:t>
      </w:r>
      <w:r w:rsidR="00637641" w:rsidRPr="001258E9">
        <w:rPr>
          <w:rFonts w:ascii="Garamond" w:hAnsi="Garamond"/>
          <w:b/>
          <w:color w:val="4F6228" w:themeColor="accent3" w:themeShade="80"/>
        </w:rPr>
        <w:t>OVERVIEW</w:t>
      </w:r>
    </w:p>
    <w:p w14:paraId="0D4AB88D" w14:textId="77777777" w:rsidR="003F2D6A" w:rsidRDefault="003F2D6A">
      <w:pPr>
        <w:rPr>
          <w:rFonts w:ascii="Garamond" w:hAnsi="Garamond"/>
        </w:rPr>
      </w:pPr>
    </w:p>
    <w:p w14:paraId="69E476C5" w14:textId="5E75B27D" w:rsidR="00637641" w:rsidRPr="007D5935" w:rsidRDefault="00637641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Working title:</w:t>
      </w:r>
      <w:r w:rsidRPr="007D5935">
        <w:rPr>
          <w:rFonts w:ascii="Garamond" w:hAnsi="Garamond"/>
        </w:rPr>
        <w:t xml:space="preserve"> Tourism concession guidelines for </w:t>
      </w:r>
      <w:proofErr w:type="spellStart"/>
      <w:r w:rsidR="007241D0">
        <w:rPr>
          <w:rFonts w:ascii="Garamond" w:hAnsi="Garamond"/>
        </w:rPr>
        <w:t>transfrontier</w:t>
      </w:r>
      <w:proofErr w:type="spellEnd"/>
      <w:r w:rsidR="007241D0" w:rsidRPr="007D5935">
        <w:rPr>
          <w:rFonts w:ascii="Garamond" w:hAnsi="Garamond"/>
        </w:rPr>
        <w:t xml:space="preserve"> </w:t>
      </w:r>
      <w:r w:rsidRPr="007D5935">
        <w:rPr>
          <w:rFonts w:ascii="Garamond" w:hAnsi="Garamond"/>
        </w:rPr>
        <w:t>conservation areas</w:t>
      </w:r>
      <w:r w:rsidR="00DD41DA" w:rsidRPr="007D5935">
        <w:rPr>
          <w:rFonts w:ascii="Garamond" w:hAnsi="Garamond"/>
        </w:rPr>
        <w:t xml:space="preserve"> in SADC</w:t>
      </w:r>
    </w:p>
    <w:p w14:paraId="1559BBFA" w14:textId="77777777" w:rsidR="00A816A3" w:rsidRPr="007D5935" w:rsidRDefault="00ED4EB6" w:rsidP="00A816A3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Special</w:t>
      </w:r>
      <w:r w:rsidR="00637641" w:rsidRPr="007D5935">
        <w:rPr>
          <w:rFonts w:ascii="Garamond" w:hAnsi="Garamond"/>
          <w:b/>
        </w:rPr>
        <w:t xml:space="preserve"> / important</w:t>
      </w:r>
      <w:r w:rsidRPr="007D5935">
        <w:rPr>
          <w:rFonts w:ascii="Garamond" w:hAnsi="Garamond"/>
          <w:b/>
        </w:rPr>
        <w:t xml:space="preserve"> features</w:t>
      </w:r>
      <w:r w:rsidRPr="007D5935">
        <w:rPr>
          <w:rFonts w:ascii="Garamond" w:hAnsi="Garamond"/>
        </w:rPr>
        <w:t>:</w:t>
      </w:r>
      <w:r w:rsidR="00070803" w:rsidRPr="007D5935">
        <w:rPr>
          <w:rFonts w:ascii="Garamond" w:hAnsi="Garamond"/>
        </w:rPr>
        <w:t xml:space="preserve"> </w:t>
      </w:r>
    </w:p>
    <w:p w14:paraId="3C229AF7" w14:textId="3067B363" w:rsidR="00A816A3" w:rsidRDefault="00A816A3" w:rsidP="00086E3A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</w:rPr>
        <w:t xml:space="preserve">Guidance on how to develop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tourism products, procurement processes for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investment, examples from SADC. </w:t>
      </w:r>
    </w:p>
    <w:p w14:paraId="169FD33E" w14:textId="77777777" w:rsidR="00A816A3" w:rsidRDefault="00A816A3" w:rsidP="00086E3A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</w:rPr>
        <w:t xml:space="preserve">Include necessary related activities (e.g. policy/regulations; border control; fee sharing). </w:t>
      </w:r>
    </w:p>
    <w:p w14:paraId="0C77BF61" w14:textId="77777777" w:rsidR="00A816A3" w:rsidRDefault="00A816A3" w:rsidP="00086E3A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</w:rPr>
        <w:t xml:space="preserve">Product types focus on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movement of tourists, but </w:t>
      </w:r>
      <w:r>
        <w:rPr>
          <w:rFonts w:ascii="Garamond" w:hAnsi="Garamond"/>
        </w:rPr>
        <w:t xml:space="preserve">also </w:t>
      </w:r>
      <w:r w:rsidRPr="007D5935">
        <w:rPr>
          <w:rFonts w:ascii="Garamond" w:hAnsi="Garamond"/>
        </w:rPr>
        <w:t>ref</w:t>
      </w:r>
      <w:r>
        <w:rPr>
          <w:rFonts w:ascii="Garamond" w:hAnsi="Garamond"/>
        </w:rPr>
        <w:t xml:space="preserve">er to national processes/systems. </w:t>
      </w:r>
    </w:p>
    <w:p w14:paraId="06EDBD1A" w14:textId="0BC2E4C9" w:rsidR="00ED4EB6" w:rsidRPr="00086E3A" w:rsidRDefault="00A816A3" w:rsidP="00086E3A">
      <w:pPr>
        <w:pStyle w:val="ListParagraph"/>
        <w:numPr>
          <w:ilvl w:val="1"/>
          <w:numId w:val="10"/>
        </w:numPr>
        <w:rPr>
          <w:rFonts w:ascii="Garamond" w:hAnsi="Garamond"/>
        </w:rPr>
      </w:pPr>
      <w:r w:rsidRPr="00086E3A">
        <w:rPr>
          <w:rFonts w:ascii="Garamond" w:hAnsi="Garamond"/>
        </w:rPr>
        <w:t>Guid</w:t>
      </w:r>
      <w:r w:rsidR="00571495">
        <w:rPr>
          <w:rFonts w:ascii="Garamond" w:hAnsi="Garamond"/>
        </w:rPr>
        <w:t xml:space="preserve">ance </w:t>
      </w:r>
      <w:r w:rsidRPr="00086E3A">
        <w:rPr>
          <w:rFonts w:ascii="Garamond" w:hAnsi="Garamond"/>
        </w:rPr>
        <w:t>to align the goals and objectives of conservation agencies with the expectations of the private sector.</w:t>
      </w:r>
    </w:p>
    <w:p w14:paraId="12C26278" w14:textId="6A27ABC2" w:rsidR="00ED4EB6" w:rsidRPr="007D5935" w:rsidRDefault="00ED4EB6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Main benefit of reading the guideline</w:t>
      </w:r>
      <w:r w:rsidRPr="007D5935">
        <w:rPr>
          <w:rFonts w:ascii="Garamond" w:hAnsi="Garamond"/>
        </w:rPr>
        <w:t>:</w:t>
      </w:r>
      <w:r w:rsidR="00070803" w:rsidRPr="007D5935">
        <w:rPr>
          <w:rFonts w:ascii="Garamond" w:hAnsi="Garamond"/>
        </w:rPr>
        <w:t xml:space="preserve"> </w:t>
      </w:r>
      <w:r w:rsidR="003F2D6A" w:rsidRPr="007D5935">
        <w:rPr>
          <w:rFonts w:ascii="Garamond" w:hAnsi="Garamond"/>
        </w:rPr>
        <w:t xml:space="preserve">Basic guidance on how to develop </w:t>
      </w:r>
      <w:proofErr w:type="spellStart"/>
      <w:r w:rsidR="003F2D6A" w:rsidRPr="007D5935">
        <w:rPr>
          <w:rFonts w:ascii="Garamond" w:hAnsi="Garamond"/>
        </w:rPr>
        <w:t>transboundary</w:t>
      </w:r>
      <w:proofErr w:type="spellEnd"/>
      <w:r w:rsidR="003F2D6A" w:rsidRPr="007D5935">
        <w:rPr>
          <w:rFonts w:ascii="Garamond" w:hAnsi="Garamond"/>
        </w:rPr>
        <w:t xml:space="preserve"> tourism pro</w:t>
      </w:r>
      <w:r w:rsidR="00F17212" w:rsidRPr="007D5935">
        <w:rPr>
          <w:rFonts w:ascii="Garamond" w:hAnsi="Garamond"/>
        </w:rPr>
        <w:t xml:space="preserve">ducts and encourage investment in TFCAs. </w:t>
      </w:r>
    </w:p>
    <w:p w14:paraId="4CDFAA5D" w14:textId="77777777" w:rsidR="003F2D6A" w:rsidRDefault="003F2D6A">
      <w:pPr>
        <w:rPr>
          <w:rFonts w:ascii="Garamond" w:hAnsi="Garamond"/>
        </w:rPr>
      </w:pPr>
    </w:p>
    <w:p w14:paraId="3B978B8D" w14:textId="7D99D4F3" w:rsidR="003F2D6A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>2. TABLE OF CONTENTS (WORKING)</w:t>
      </w:r>
    </w:p>
    <w:p w14:paraId="35006EAE" w14:textId="77777777" w:rsidR="003F2D6A" w:rsidRPr="001D7E6B" w:rsidRDefault="003F2D6A" w:rsidP="003F2D6A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922"/>
        <w:gridCol w:w="2643"/>
      </w:tblGrid>
      <w:tr w:rsidR="003F2D6A" w:rsidRPr="00E31207" w14:paraId="15BD65B2" w14:textId="77777777" w:rsidTr="00F17212">
        <w:tc>
          <w:tcPr>
            <w:tcW w:w="1951" w:type="dxa"/>
          </w:tcPr>
          <w:p w14:paraId="6CA2CC7F" w14:textId="181568F0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Section</w:t>
            </w:r>
            <w:r w:rsidR="00E31207">
              <w:rPr>
                <w:rFonts w:ascii="Garamond" w:hAnsi="Garamond"/>
                <w:b/>
              </w:rPr>
              <w:t xml:space="preserve"> </w:t>
            </w:r>
            <w:r w:rsidR="00E31207" w:rsidRPr="00E31207">
              <w:rPr>
                <w:rFonts w:ascii="Garamond" w:hAnsi="Garamond"/>
              </w:rPr>
              <w:t>(indicative length)</w:t>
            </w:r>
          </w:p>
        </w:tc>
        <w:tc>
          <w:tcPr>
            <w:tcW w:w="3922" w:type="dxa"/>
          </w:tcPr>
          <w:p w14:paraId="3C8C0252" w14:textId="4F8D0487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Sub-sections</w:t>
            </w:r>
          </w:p>
        </w:tc>
        <w:tc>
          <w:tcPr>
            <w:tcW w:w="2643" w:type="dxa"/>
          </w:tcPr>
          <w:p w14:paraId="6241EA10" w14:textId="6FF38EB9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Materials</w:t>
            </w:r>
          </w:p>
        </w:tc>
      </w:tr>
      <w:tr w:rsidR="003F2D6A" w:rsidRPr="001D7E6B" w14:paraId="29D5C187" w14:textId="77777777" w:rsidTr="00F17212">
        <w:tc>
          <w:tcPr>
            <w:tcW w:w="1951" w:type="dxa"/>
          </w:tcPr>
          <w:p w14:paraId="1DF31723" w14:textId="1C463A8E" w:rsidR="003F2D6A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Table of contents (1 page)</w:t>
            </w:r>
          </w:p>
        </w:tc>
        <w:tc>
          <w:tcPr>
            <w:tcW w:w="3922" w:type="dxa"/>
          </w:tcPr>
          <w:p w14:paraId="0359C103" w14:textId="254E4E6F" w:rsidR="00942C43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Contents</w:t>
            </w:r>
          </w:p>
          <w:p w14:paraId="32DBE291" w14:textId="77777777" w:rsidR="00942C43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Lists of figures, boxes, tables</w:t>
            </w:r>
          </w:p>
          <w:p w14:paraId="11CB5968" w14:textId="7E981B97" w:rsidR="003F2D6A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Acronyms</w:t>
            </w:r>
            <w:r w:rsidR="00BC460A" w:rsidRPr="00BC460A">
              <w:rPr>
                <w:rFonts w:ascii="Garamond" w:hAnsi="Garamond"/>
                <w:lang w:eastAsia="ko-KR"/>
              </w:rPr>
              <w:t xml:space="preserve"> (keep to a minimum)</w:t>
            </w:r>
          </w:p>
        </w:tc>
        <w:tc>
          <w:tcPr>
            <w:tcW w:w="2643" w:type="dxa"/>
          </w:tcPr>
          <w:p w14:paraId="4131AD65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1C10BB36" w14:textId="77777777" w:rsidTr="00F17212">
        <w:tc>
          <w:tcPr>
            <w:tcW w:w="1951" w:type="dxa"/>
          </w:tcPr>
          <w:p w14:paraId="4D412B42" w14:textId="77777777" w:rsidR="00942C43" w:rsidRPr="00E31207" w:rsidRDefault="00942C43" w:rsidP="00942C43">
            <w:pPr>
              <w:rPr>
                <w:rFonts w:ascii="Garamond" w:hAnsi="Garamond"/>
                <w:b/>
                <w:lang w:eastAsia="ko-KR"/>
              </w:rPr>
            </w:pPr>
            <w:r w:rsidRPr="00E31207">
              <w:rPr>
                <w:rFonts w:ascii="Garamond" w:hAnsi="Garamond"/>
                <w:b/>
                <w:lang w:eastAsia="ko-KR"/>
              </w:rPr>
              <w:t xml:space="preserve">Introduction </w:t>
            </w:r>
          </w:p>
          <w:p w14:paraId="464CC34D" w14:textId="5D991694" w:rsidR="00942C43" w:rsidRPr="00942C43" w:rsidRDefault="00E31207" w:rsidP="00942C43">
            <w:pPr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lang w:eastAsia="ko-KR"/>
              </w:rPr>
              <w:t>(2</w:t>
            </w:r>
            <w:r w:rsidR="00942C43" w:rsidRPr="00942C43">
              <w:rPr>
                <w:rFonts w:ascii="Garamond" w:hAnsi="Garamond"/>
                <w:lang w:eastAsia="ko-KR"/>
              </w:rPr>
              <w:t xml:space="preserve"> pages)</w:t>
            </w:r>
          </w:p>
          <w:p w14:paraId="086E169D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  <w:tc>
          <w:tcPr>
            <w:tcW w:w="3922" w:type="dxa"/>
          </w:tcPr>
          <w:p w14:paraId="24B49D56" w14:textId="77777777" w:rsidR="00942C43" w:rsidRPr="00942C43" w:rsidRDefault="00942C43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Aim and principles of the guidelines</w:t>
            </w:r>
          </w:p>
          <w:p w14:paraId="2D774262" w14:textId="5FE484CA" w:rsidR="00942C43" w:rsidRDefault="00942C43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Important/special features, benefits of reading the guidelines</w:t>
            </w:r>
          </w:p>
          <w:p w14:paraId="7DFFDF35" w14:textId="2E7BDB33" w:rsidR="00E31207" w:rsidRPr="00942C43" w:rsidRDefault="00E31207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 xml:space="preserve">Scope </w:t>
            </w:r>
            <w:r w:rsidR="00074AD1">
              <w:rPr>
                <w:rFonts w:ascii="Garamond" w:hAnsi="Garamond"/>
                <w:lang w:eastAsia="ko-KR"/>
              </w:rPr>
              <w:t>and structure of the guidelines</w:t>
            </w:r>
          </w:p>
          <w:p w14:paraId="02662BDA" w14:textId="666844BA" w:rsidR="003F2D6A" w:rsidRPr="00E31207" w:rsidRDefault="00942C43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Target audience</w:t>
            </w:r>
          </w:p>
        </w:tc>
        <w:tc>
          <w:tcPr>
            <w:tcW w:w="2643" w:type="dxa"/>
          </w:tcPr>
          <w:p w14:paraId="24AD011F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6999512F" w14:textId="77777777" w:rsidTr="00F17212">
        <w:tc>
          <w:tcPr>
            <w:tcW w:w="1951" w:type="dxa"/>
          </w:tcPr>
          <w:p w14:paraId="48EAD2E5" w14:textId="5739125E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Concessioning process</w:t>
            </w:r>
          </w:p>
        </w:tc>
        <w:tc>
          <w:tcPr>
            <w:tcW w:w="3922" w:type="dxa"/>
          </w:tcPr>
          <w:p w14:paraId="73A97195" w14:textId="7B94F21C" w:rsidR="003F2D6A" w:rsidRPr="00942C43" w:rsidRDefault="00200677" w:rsidP="006271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Include diagram of the process</w:t>
            </w:r>
            <w:r w:rsidR="006271CE">
              <w:rPr>
                <w:rFonts w:ascii="Garamond" w:hAnsi="Garamond"/>
              </w:rPr>
              <w:t xml:space="preserve"> and stakeholder roles</w:t>
            </w:r>
          </w:p>
        </w:tc>
        <w:tc>
          <w:tcPr>
            <w:tcW w:w="2643" w:type="dxa"/>
          </w:tcPr>
          <w:p w14:paraId="46774B87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35E36EEC" w14:textId="77777777" w:rsidTr="00F17212">
        <w:tc>
          <w:tcPr>
            <w:tcW w:w="1951" w:type="dxa"/>
          </w:tcPr>
          <w:p w14:paraId="49217DE5" w14:textId="77777777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1: Scoping</w:t>
            </w:r>
          </w:p>
          <w:p w14:paraId="39CC5B6E" w14:textId="63B9D255" w:rsidR="00E31207" w:rsidRPr="00942C43" w:rsidRDefault="000476FF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(2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6BA86676" w14:textId="011EBF2E" w:rsidR="00045559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Establish goals, motivations, objectives</w:t>
            </w:r>
          </w:p>
          <w:p w14:paraId="51804B6D" w14:textId="7EE28A1A" w:rsidR="003F2D6A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Concessions experience </w:t>
            </w:r>
          </w:p>
          <w:p w14:paraId="1398F2DF" w14:textId="6DAA2077" w:rsidR="00045559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Potential barriers to concessioning</w:t>
            </w:r>
          </w:p>
          <w:p w14:paraId="6FDC5F41" w14:textId="41DA6CA3" w:rsidR="007F3494" w:rsidRPr="00F17212" w:rsidRDefault="007F3494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When concessions to go ahead, and when not to</w:t>
            </w:r>
          </w:p>
        </w:tc>
        <w:tc>
          <w:tcPr>
            <w:tcW w:w="2643" w:type="dxa"/>
          </w:tcPr>
          <w:p w14:paraId="743F27B6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5412F4DA" w14:textId="77777777" w:rsidTr="00F17212">
        <w:tc>
          <w:tcPr>
            <w:tcW w:w="1951" w:type="dxa"/>
          </w:tcPr>
          <w:p w14:paraId="61B3F942" w14:textId="77777777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2: Design and feasibility</w:t>
            </w:r>
          </w:p>
          <w:p w14:paraId="71232CAC" w14:textId="6282D6CD" w:rsidR="00E31207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</w:t>
            </w:r>
            <w:r w:rsidR="008230DE">
              <w:rPr>
                <w:rFonts w:ascii="Garamond" w:hAnsi="Garamond"/>
              </w:rPr>
              <w:t>-5</w:t>
            </w:r>
            <w:r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D6E8C04" w14:textId="7C955D83" w:rsidR="003F2D6A" w:rsidRPr="00F17212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Policy harmonisation/legal elements</w:t>
            </w:r>
            <w:r w:rsidR="007F3494" w:rsidRPr="00F17212">
              <w:rPr>
                <w:rFonts w:ascii="Garamond" w:hAnsi="Garamond"/>
              </w:rPr>
              <w:t xml:space="preserve"> - Due diligence</w:t>
            </w:r>
            <w:r w:rsidR="00D84803" w:rsidRPr="00F17212">
              <w:rPr>
                <w:rFonts w:ascii="Garamond" w:hAnsi="Garamond"/>
              </w:rPr>
              <w:t xml:space="preserve"> – national &amp; site level</w:t>
            </w:r>
          </w:p>
          <w:p w14:paraId="1952FFC7" w14:textId="01FF1FD8" w:rsidR="007F3494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lastRenderedPageBreak/>
              <w:t>Land tenure types</w:t>
            </w:r>
          </w:p>
          <w:p w14:paraId="6C7238B3" w14:textId="74F61F50" w:rsidR="00E611F4" w:rsidRPr="00F17212" w:rsidRDefault="00E611F4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Spatial planning</w:t>
            </w:r>
          </w:p>
          <w:p w14:paraId="3BA31247" w14:textId="77777777" w:rsidR="00074AD1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Product types (</w:t>
            </w:r>
            <w:proofErr w:type="spellStart"/>
            <w:r w:rsidRPr="00F17212">
              <w:rPr>
                <w:rFonts w:ascii="Garamond" w:hAnsi="Garamond"/>
              </w:rPr>
              <w:t>accom</w:t>
            </w:r>
            <w:proofErr w:type="spellEnd"/>
            <w:r w:rsidRPr="00F17212">
              <w:rPr>
                <w:rFonts w:ascii="Garamond" w:hAnsi="Garamond"/>
              </w:rPr>
              <w:t xml:space="preserve">, event </w:t>
            </w:r>
            <w:proofErr w:type="spellStart"/>
            <w:r w:rsidRPr="00F17212">
              <w:rPr>
                <w:rFonts w:ascii="Garamond" w:hAnsi="Garamond"/>
              </w:rPr>
              <w:t>etc</w:t>
            </w:r>
            <w:proofErr w:type="spellEnd"/>
            <w:r w:rsidRPr="00F17212">
              <w:rPr>
                <w:rFonts w:ascii="Garamond" w:hAnsi="Garamond"/>
              </w:rPr>
              <w:t>)</w:t>
            </w:r>
          </w:p>
          <w:p w14:paraId="4ECFA838" w14:textId="20DE8D13" w:rsidR="00571495" w:rsidRPr="00F17212" w:rsidRDefault="00571495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Concession model selection (PPP, CPPP </w:t>
            </w:r>
            <w:proofErr w:type="spellStart"/>
            <w:r>
              <w:rPr>
                <w:rFonts w:ascii="Garamond" w:hAnsi="Garamond"/>
              </w:rPr>
              <w:t>etc</w:t>
            </w:r>
            <w:proofErr w:type="spellEnd"/>
            <w:r>
              <w:rPr>
                <w:rFonts w:ascii="Garamond" w:hAnsi="Garamond"/>
              </w:rPr>
              <w:t>)</w:t>
            </w:r>
          </w:p>
          <w:p w14:paraId="627E96D4" w14:textId="087AD79E" w:rsidR="007F3494" w:rsidRPr="00F17212" w:rsidRDefault="00D84803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Viability and market assessment</w:t>
            </w:r>
          </w:p>
          <w:p w14:paraId="21982DBB" w14:textId="3A42900E" w:rsidR="00AE4B47" w:rsidRDefault="00D84803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Development impact: Community </w:t>
            </w:r>
            <w:r w:rsidR="00597991">
              <w:rPr>
                <w:rFonts w:ascii="Garamond" w:hAnsi="Garamond"/>
              </w:rPr>
              <w:t xml:space="preserve">costs and </w:t>
            </w:r>
            <w:r w:rsidRPr="00F17212">
              <w:rPr>
                <w:rFonts w:ascii="Garamond" w:hAnsi="Garamond"/>
              </w:rPr>
              <w:t>benefits</w:t>
            </w:r>
            <w:r w:rsidR="005F5839">
              <w:rPr>
                <w:rFonts w:ascii="Garamond" w:hAnsi="Garamond"/>
              </w:rPr>
              <w:t>; local $ retention</w:t>
            </w:r>
          </w:p>
          <w:p w14:paraId="6D75B3A0" w14:textId="661F1E19" w:rsidR="00F17212" w:rsidRPr="00F17212" w:rsidRDefault="00F17212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Risk</w:t>
            </w:r>
          </w:p>
        </w:tc>
        <w:tc>
          <w:tcPr>
            <w:tcW w:w="2643" w:type="dxa"/>
          </w:tcPr>
          <w:p w14:paraId="6094F457" w14:textId="04E77040" w:rsidR="003F2D6A" w:rsidRDefault="00074AD1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Example</w:t>
            </w:r>
            <w:r w:rsidR="00F91769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:</w:t>
            </w:r>
            <w:r w:rsidR="00F91769">
              <w:rPr>
                <w:rFonts w:ascii="Garamond" w:hAnsi="Garamond"/>
              </w:rPr>
              <w:t xml:space="preserve"> Tour de </w:t>
            </w:r>
            <w:proofErr w:type="spellStart"/>
            <w:r w:rsidR="00F91769">
              <w:rPr>
                <w:rFonts w:ascii="Garamond" w:hAnsi="Garamond"/>
              </w:rPr>
              <w:t>Tuli</w:t>
            </w:r>
            <w:proofErr w:type="spellEnd"/>
            <w:r w:rsidR="00F91769">
              <w:rPr>
                <w:rFonts w:ascii="Garamond" w:hAnsi="Garamond"/>
              </w:rPr>
              <w:t xml:space="preserve">; Desert </w:t>
            </w:r>
            <w:proofErr w:type="gramStart"/>
            <w:r w:rsidR="00597991">
              <w:rPr>
                <w:rFonts w:ascii="Garamond" w:hAnsi="Garamond"/>
              </w:rPr>
              <w:t xml:space="preserve">Knights </w:t>
            </w:r>
            <w:r w:rsidR="00F91769">
              <w:rPr>
                <w:rFonts w:ascii="Garamond" w:hAnsi="Garamond"/>
              </w:rPr>
              <w:t>;</w:t>
            </w:r>
            <w:proofErr w:type="gramEnd"/>
            <w:r w:rsidR="00F91769">
              <w:rPr>
                <w:rFonts w:ascii="Garamond" w:hAnsi="Garamond"/>
              </w:rPr>
              <w:t xml:space="preserve"> </w:t>
            </w:r>
            <w:proofErr w:type="spellStart"/>
            <w:r w:rsidR="00F91769">
              <w:rPr>
                <w:rFonts w:ascii="Garamond" w:hAnsi="Garamond"/>
              </w:rPr>
              <w:t>Machampane</w:t>
            </w:r>
            <w:proofErr w:type="spellEnd"/>
          </w:p>
          <w:p w14:paraId="7AD2679E" w14:textId="77777777" w:rsidR="00074AD1" w:rsidRDefault="00074AD1" w:rsidP="00942C43">
            <w:pPr>
              <w:rPr>
                <w:rFonts w:ascii="Garamond" w:hAnsi="Garamond"/>
              </w:rPr>
            </w:pPr>
          </w:p>
          <w:p w14:paraId="5778E5C1" w14:textId="0F1A9F8F" w:rsidR="005F5839" w:rsidRPr="00942C43" w:rsidRDefault="005F5839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64176970" w14:textId="77777777" w:rsidTr="00F17212">
        <w:tc>
          <w:tcPr>
            <w:tcW w:w="1951" w:type="dxa"/>
          </w:tcPr>
          <w:p w14:paraId="337CF59A" w14:textId="7A0102D5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lastRenderedPageBreak/>
              <w:t>Step 3: Procurement strategy</w:t>
            </w:r>
          </w:p>
          <w:p w14:paraId="764843EE" w14:textId="50775EB2" w:rsidR="00E31207" w:rsidRPr="00942C43" w:rsidRDefault="008230DE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(4-5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6CFB7000" w14:textId="1C191D93" w:rsidR="00D84803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Investment strategy</w:t>
            </w:r>
            <w:r w:rsidR="006271CE">
              <w:rPr>
                <w:rFonts w:ascii="Garamond" w:hAnsi="Garamond"/>
              </w:rPr>
              <w:t>, including target tourism markets</w:t>
            </w:r>
          </w:p>
          <w:p w14:paraId="1BC97A33" w14:textId="3DC9FABA" w:rsidR="000E435B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Transaction strategy: </w:t>
            </w:r>
            <w:r w:rsidR="00DE7CA4">
              <w:rPr>
                <w:rFonts w:ascii="Garamond" w:hAnsi="Garamond"/>
              </w:rPr>
              <w:t>Private sector (t</w:t>
            </w:r>
            <w:r w:rsidR="00074AD1" w:rsidRPr="00F17212">
              <w:rPr>
                <w:rFonts w:ascii="Garamond" w:hAnsi="Garamond"/>
              </w:rPr>
              <w:t>ender or negotiated/unsolicited</w:t>
            </w:r>
            <w:r w:rsidR="00DE7CA4">
              <w:rPr>
                <w:rFonts w:ascii="Garamond" w:hAnsi="Garamond"/>
              </w:rPr>
              <w:t>); PA authority</w:t>
            </w:r>
          </w:p>
          <w:p w14:paraId="326627D6" w14:textId="77777777" w:rsidR="00AE4B47" w:rsidRPr="00F17212" w:rsidRDefault="00AE4B47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Development of transaction materials (e.g. </w:t>
            </w:r>
            <w:proofErr w:type="spellStart"/>
            <w:r w:rsidRPr="00F17212">
              <w:rPr>
                <w:rFonts w:ascii="Garamond" w:hAnsi="Garamond"/>
              </w:rPr>
              <w:t>EoI</w:t>
            </w:r>
            <w:proofErr w:type="spellEnd"/>
            <w:r w:rsidRPr="00F17212">
              <w:rPr>
                <w:rFonts w:ascii="Garamond" w:hAnsi="Garamond"/>
              </w:rPr>
              <w:t xml:space="preserve">, </w:t>
            </w:r>
            <w:proofErr w:type="spellStart"/>
            <w:r w:rsidRPr="00F17212">
              <w:rPr>
                <w:rFonts w:ascii="Garamond" w:hAnsi="Garamond"/>
              </w:rPr>
              <w:t>RfP</w:t>
            </w:r>
            <w:proofErr w:type="spellEnd"/>
            <w:r w:rsidRPr="00F17212">
              <w:rPr>
                <w:rFonts w:ascii="Garamond" w:hAnsi="Garamond"/>
              </w:rPr>
              <w:t>, checklists, marketing collateral)</w:t>
            </w:r>
          </w:p>
          <w:p w14:paraId="4D630183" w14:textId="1412FA30" w:rsidR="00D84803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Evaluation committee development</w:t>
            </w:r>
          </w:p>
        </w:tc>
        <w:tc>
          <w:tcPr>
            <w:tcW w:w="2643" w:type="dxa"/>
          </w:tcPr>
          <w:p w14:paraId="6A3DE8C3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536CD42F" w14:textId="77777777" w:rsidTr="00F17212">
        <w:tc>
          <w:tcPr>
            <w:tcW w:w="1951" w:type="dxa"/>
          </w:tcPr>
          <w:p w14:paraId="425E297B" w14:textId="054FFF10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4: Transaction management</w:t>
            </w:r>
          </w:p>
          <w:p w14:paraId="7134DD67" w14:textId="0E78C5E8" w:rsidR="00E31207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(3</w:t>
            </w:r>
            <w:r w:rsidR="008230DE">
              <w:rPr>
                <w:rFonts w:ascii="Garamond" w:hAnsi="Garamond"/>
              </w:rPr>
              <w:t>-4</w:t>
            </w:r>
            <w:r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12AD57E" w14:textId="77777777" w:rsidR="000476FF" w:rsidRPr="00F17212" w:rsidRDefault="000476FF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Procurement process</w:t>
            </w:r>
          </w:p>
          <w:p w14:paraId="20273090" w14:textId="77777777" w:rsidR="003F2D6A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Engagement with investors (promotion, negotiation, relationships)</w:t>
            </w:r>
          </w:p>
          <w:p w14:paraId="0AA56ED3" w14:textId="77777777" w:rsidR="00AE4B47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Win-win deals</w:t>
            </w:r>
          </w:p>
          <w:p w14:paraId="141EB1F4" w14:textId="202E779E" w:rsidR="00AE4B47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Contract content</w:t>
            </w:r>
          </w:p>
        </w:tc>
        <w:tc>
          <w:tcPr>
            <w:tcW w:w="2643" w:type="dxa"/>
          </w:tcPr>
          <w:p w14:paraId="789DA917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23668585" w14:textId="77777777" w:rsidTr="00F17212">
        <w:tc>
          <w:tcPr>
            <w:tcW w:w="1951" w:type="dxa"/>
          </w:tcPr>
          <w:p w14:paraId="50B7A6FB" w14:textId="60A8A0B2" w:rsid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 xml:space="preserve">Step 5: Contract management </w:t>
            </w:r>
          </w:p>
          <w:p w14:paraId="2A8F4BD2" w14:textId="4A4D16B1" w:rsidR="00E31207" w:rsidRPr="00942C43" w:rsidRDefault="008230DE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(4-5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029BFC1" w14:textId="77777777" w:rsidR="00942C43" w:rsidRPr="00F17212" w:rsidRDefault="00A276CD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Capacity and skills</w:t>
            </w:r>
          </w:p>
          <w:p w14:paraId="5FCB2D20" w14:textId="1DAA7A5A" w:rsidR="00597991" w:rsidRPr="00086E3A" w:rsidRDefault="000476FF" w:rsidP="00597991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200"/>
              <w:ind w:left="459"/>
              <w:outlineLvl w:val="8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Manuals</w:t>
            </w:r>
            <w:r w:rsidR="00597991">
              <w:rPr>
                <w:rFonts w:ascii="Garamond" w:hAnsi="Garamond"/>
              </w:rPr>
              <w:t xml:space="preserve"> (including M&amp;E</w:t>
            </w:r>
            <w:r w:rsidR="00994587">
              <w:rPr>
                <w:rFonts w:ascii="Garamond" w:hAnsi="Garamond"/>
              </w:rPr>
              <w:t>; service level agreements; standard operating procedures</w:t>
            </w:r>
            <w:r w:rsidR="00597991">
              <w:rPr>
                <w:rFonts w:ascii="Garamond" w:hAnsi="Garamond"/>
              </w:rPr>
              <w:t>)</w:t>
            </w:r>
          </w:p>
          <w:p w14:paraId="565C8F41" w14:textId="40DAD874" w:rsidR="000476FF" w:rsidRPr="00F17212" w:rsidRDefault="000476FF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End of concession &amp; next steps</w:t>
            </w:r>
          </w:p>
        </w:tc>
        <w:tc>
          <w:tcPr>
            <w:tcW w:w="2643" w:type="dxa"/>
          </w:tcPr>
          <w:p w14:paraId="37F093E5" w14:textId="57EE8D1E" w:rsidR="00942C43" w:rsidRPr="00942C43" w:rsidRDefault="00074AD1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Example: </w:t>
            </w:r>
            <w:proofErr w:type="spellStart"/>
            <w:r>
              <w:rPr>
                <w:rFonts w:ascii="Garamond" w:hAnsi="Garamond"/>
              </w:rPr>
              <w:t>Kgalagadi</w:t>
            </w:r>
            <w:proofErr w:type="spellEnd"/>
            <w:r>
              <w:rPr>
                <w:rFonts w:ascii="Garamond" w:hAnsi="Garamond"/>
              </w:rPr>
              <w:t xml:space="preserve"> TP fee sharing</w:t>
            </w:r>
            <w:r w:rsidR="00F91769">
              <w:rPr>
                <w:rFonts w:ascii="Garamond" w:hAnsi="Garamond"/>
              </w:rPr>
              <w:t>; IFC training course</w:t>
            </w:r>
          </w:p>
        </w:tc>
      </w:tr>
      <w:tr w:rsidR="00942C43" w:rsidRPr="001D7E6B" w14:paraId="7B422977" w14:textId="77777777" w:rsidTr="00F17212">
        <w:tc>
          <w:tcPr>
            <w:tcW w:w="1951" w:type="dxa"/>
          </w:tcPr>
          <w:p w14:paraId="5B8D2988" w14:textId="6065EA50" w:rsidR="00942C43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Further reading</w:t>
            </w:r>
          </w:p>
        </w:tc>
        <w:tc>
          <w:tcPr>
            <w:tcW w:w="3922" w:type="dxa"/>
          </w:tcPr>
          <w:p w14:paraId="517F25A4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15D3D940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1BCF1437" w14:textId="77777777" w:rsidTr="00F17212">
        <w:tc>
          <w:tcPr>
            <w:tcW w:w="1951" w:type="dxa"/>
          </w:tcPr>
          <w:p w14:paraId="1739E61D" w14:textId="72473FDE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References</w:t>
            </w:r>
          </w:p>
        </w:tc>
        <w:tc>
          <w:tcPr>
            <w:tcW w:w="3922" w:type="dxa"/>
          </w:tcPr>
          <w:p w14:paraId="233DB570" w14:textId="5CC4CD21" w:rsidR="00942C43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Citations from the text</w:t>
            </w:r>
          </w:p>
        </w:tc>
        <w:tc>
          <w:tcPr>
            <w:tcW w:w="2643" w:type="dxa"/>
          </w:tcPr>
          <w:p w14:paraId="1166476E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483E8D10" w14:textId="77777777" w:rsidTr="00F17212">
        <w:tc>
          <w:tcPr>
            <w:tcW w:w="1951" w:type="dxa"/>
          </w:tcPr>
          <w:p w14:paraId="4A606E7F" w14:textId="77777777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Links</w:t>
            </w:r>
          </w:p>
        </w:tc>
        <w:tc>
          <w:tcPr>
            <w:tcW w:w="3922" w:type="dxa"/>
          </w:tcPr>
          <w:p w14:paraId="707BDB92" w14:textId="04FE479B" w:rsidR="00942C43" w:rsidRPr="00942C43" w:rsidRDefault="00E31207" w:rsidP="00942C4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Weblinks</w:t>
            </w:r>
            <w:proofErr w:type="spellEnd"/>
            <w:r>
              <w:rPr>
                <w:rFonts w:ascii="Garamond" w:hAnsi="Garamond"/>
              </w:rPr>
              <w:t xml:space="preserve"> to more information</w:t>
            </w:r>
          </w:p>
        </w:tc>
        <w:tc>
          <w:tcPr>
            <w:tcW w:w="2643" w:type="dxa"/>
          </w:tcPr>
          <w:p w14:paraId="5AA35D49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34B591F7" w14:textId="77777777" w:rsidTr="00F17212">
        <w:tc>
          <w:tcPr>
            <w:tcW w:w="1951" w:type="dxa"/>
          </w:tcPr>
          <w:p w14:paraId="7BB46065" w14:textId="34AD74D7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Templates</w:t>
            </w:r>
          </w:p>
        </w:tc>
        <w:tc>
          <w:tcPr>
            <w:tcW w:w="3922" w:type="dxa"/>
          </w:tcPr>
          <w:p w14:paraId="51E30285" w14:textId="68A26948" w:rsidR="00942C43" w:rsidRPr="00942C43" w:rsidRDefault="00E31207" w:rsidP="00942C4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EoIs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RfPs</w:t>
            </w:r>
            <w:proofErr w:type="spellEnd"/>
            <w:r>
              <w:rPr>
                <w:rFonts w:ascii="Garamond" w:hAnsi="Garamond"/>
              </w:rPr>
              <w:t xml:space="preserve">, tender review checklist, Standard Operating Procedures (borders, revenue sharing), </w:t>
            </w:r>
          </w:p>
        </w:tc>
        <w:tc>
          <w:tcPr>
            <w:tcW w:w="2643" w:type="dxa"/>
          </w:tcPr>
          <w:p w14:paraId="0CE47DAA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5F66EA7C" w14:textId="77777777" w:rsidTr="00F17212">
        <w:tc>
          <w:tcPr>
            <w:tcW w:w="1951" w:type="dxa"/>
          </w:tcPr>
          <w:p w14:paraId="556DF5D0" w14:textId="0A3E8A24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Specific country information</w:t>
            </w:r>
          </w:p>
        </w:tc>
        <w:tc>
          <w:tcPr>
            <w:tcW w:w="3922" w:type="dxa"/>
          </w:tcPr>
          <w:p w14:paraId="5B5AEC6D" w14:textId="77777777" w:rsid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Legislation/policy in each country</w:t>
            </w:r>
          </w:p>
          <w:p w14:paraId="727742BA" w14:textId="77777777" w:rsidR="00E31207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tenure types in each country</w:t>
            </w:r>
          </w:p>
          <w:p w14:paraId="09CF999A" w14:textId="77777777" w:rsidR="00F17212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Investment processes/protocols</w:t>
            </w:r>
          </w:p>
          <w:p w14:paraId="767BFD08" w14:textId="7C445214" w:rsidR="00F17212" w:rsidRPr="00942C43" w:rsidRDefault="00F17212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Case studies/</w:t>
            </w:r>
            <w:proofErr w:type="spellStart"/>
            <w:r>
              <w:rPr>
                <w:rFonts w:ascii="Garamond" w:hAnsi="Garamond"/>
              </w:rPr>
              <w:t>transboundary</w:t>
            </w:r>
            <w:proofErr w:type="spellEnd"/>
            <w:r>
              <w:rPr>
                <w:rFonts w:ascii="Garamond" w:hAnsi="Garamond"/>
              </w:rPr>
              <w:t xml:space="preserve"> product examples</w:t>
            </w:r>
          </w:p>
        </w:tc>
        <w:tc>
          <w:tcPr>
            <w:tcW w:w="2643" w:type="dxa"/>
          </w:tcPr>
          <w:p w14:paraId="0DA71F42" w14:textId="588E9F04" w:rsidR="00942C43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Boundless investment guide</w:t>
            </w:r>
          </w:p>
        </w:tc>
      </w:tr>
      <w:tr w:rsidR="00B5658C" w:rsidRPr="001D7E6B" w14:paraId="4B90FD25" w14:textId="77777777" w:rsidTr="00F17212">
        <w:tc>
          <w:tcPr>
            <w:tcW w:w="1951" w:type="dxa"/>
          </w:tcPr>
          <w:p w14:paraId="2CAFDD60" w14:textId="7CEA0B8C" w:rsidR="00B5658C" w:rsidRPr="00942C43" w:rsidRDefault="00B5658C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Guideline development process</w:t>
            </w:r>
          </w:p>
        </w:tc>
        <w:tc>
          <w:tcPr>
            <w:tcW w:w="3922" w:type="dxa"/>
          </w:tcPr>
          <w:p w14:paraId="71CC8569" w14:textId="7E5BC4C1" w:rsidR="00B5658C" w:rsidRDefault="00F17212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Method outline</w:t>
            </w:r>
          </w:p>
        </w:tc>
        <w:tc>
          <w:tcPr>
            <w:tcW w:w="2643" w:type="dxa"/>
          </w:tcPr>
          <w:p w14:paraId="4E270FAB" w14:textId="77777777" w:rsidR="00B5658C" w:rsidRDefault="00B5658C" w:rsidP="00942C43">
            <w:pPr>
              <w:rPr>
                <w:rFonts w:ascii="Garamond" w:hAnsi="Garamond"/>
              </w:rPr>
            </w:pPr>
          </w:p>
        </w:tc>
      </w:tr>
    </w:tbl>
    <w:p w14:paraId="55041138" w14:textId="77777777" w:rsidR="00E31207" w:rsidRDefault="00E31207">
      <w:pPr>
        <w:rPr>
          <w:rFonts w:ascii="Garamond" w:hAnsi="Garamond"/>
        </w:rPr>
      </w:pPr>
    </w:p>
    <w:p w14:paraId="3E97681C" w14:textId="77777777" w:rsidR="003F2D6A" w:rsidRDefault="003F2D6A">
      <w:pPr>
        <w:rPr>
          <w:rFonts w:ascii="Garamond" w:hAnsi="Garamond"/>
        </w:rPr>
      </w:pPr>
    </w:p>
    <w:p w14:paraId="7B229A9B" w14:textId="077779BA" w:rsidR="003F2D6A" w:rsidRPr="001258E9" w:rsidRDefault="003F2D6A" w:rsidP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>3. DEVELOPMENT PROCESS</w:t>
      </w:r>
      <w:r w:rsidR="00F91769" w:rsidRPr="001258E9">
        <w:rPr>
          <w:rFonts w:ascii="Garamond" w:hAnsi="Garamond"/>
          <w:b/>
          <w:color w:val="4F6228" w:themeColor="accent3" w:themeShade="80"/>
        </w:rPr>
        <w:t xml:space="preserve"> AND TIMEFRAME</w:t>
      </w:r>
    </w:p>
    <w:p w14:paraId="5181C9AC" w14:textId="77777777" w:rsidR="003F2D6A" w:rsidRDefault="003F2D6A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171"/>
      </w:tblGrid>
      <w:tr w:rsidR="00923824" w14:paraId="045B39A7" w14:textId="77777777" w:rsidTr="00DC2FC2">
        <w:tc>
          <w:tcPr>
            <w:tcW w:w="6345" w:type="dxa"/>
          </w:tcPr>
          <w:p w14:paraId="1B34CC49" w14:textId="1ED62189" w:rsidR="00923824" w:rsidRDefault="00923824" w:rsidP="00923824">
            <w:pPr>
              <w:rPr>
                <w:rFonts w:ascii="Garamond" w:hAnsi="Garamond"/>
              </w:rPr>
            </w:pPr>
            <w:r w:rsidRPr="002901EB">
              <w:rPr>
                <w:rFonts w:ascii="Garamond" w:hAnsi="Garamond"/>
                <w:b/>
              </w:rPr>
              <w:t>Inception</w:t>
            </w:r>
            <w:r>
              <w:rPr>
                <w:rFonts w:ascii="Garamond" w:hAnsi="Garamond"/>
              </w:rPr>
              <w:t xml:space="preserve"> meeting and report</w:t>
            </w:r>
          </w:p>
        </w:tc>
        <w:tc>
          <w:tcPr>
            <w:tcW w:w="2171" w:type="dxa"/>
          </w:tcPr>
          <w:p w14:paraId="538DDCC4" w14:textId="156C59AC" w:rsidR="00923824" w:rsidRDefault="00777B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Completed</w:t>
            </w:r>
          </w:p>
        </w:tc>
      </w:tr>
      <w:tr w:rsidR="00923824" w14:paraId="59A04E30" w14:textId="77777777" w:rsidTr="00DC2FC2">
        <w:tc>
          <w:tcPr>
            <w:tcW w:w="6345" w:type="dxa"/>
          </w:tcPr>
          <w:p w14:paraId="4B94EBC3" w14:textId="76BCC03B" w:rsidR="00923824" w:rsidRDefault="00923824" w:rsidP="00777B1F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Scoping</w:t>
            </w:r>
            <w:r>
              <w:rPr>
                <w:rFonts w:ascii="Garamond" w:hAnsi="Garamond"/>
              </w:rPr>
              <w:t xml:space="preserve">– on format and style of guideline, and draft </w:t>
            </w:r>
            <w:proofErr w:type="spellStart"/>
            <w:r>
              <w:rPr>
                <w:rFonts w:ascii="Garamond" w:hAnsi="Garamond"/>
              </w:rPr>
              <w:t>ToC</w:t>
            </w:r>
            <w:proofErr w:type="spellEnd"/>
          </w:p>
        </w:tc>
        <w:tc>
          <w:tcPr>
            <w:tcW w:w="2171" w:type="dxa"/>
          </w:tcPr>
          <w:p w14:paraId="2B25865C" w14:textId="63A97364" w:rsidR="00923824" w:rsidRDefault="00777B1F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June/July</w:t>
            </w:r>
          </w:p>
        </w:tc>
      </w:tr>
      <w:tr w:rsidR="00923824" w14:paraId="389DAD05" w14:textId="77777777" w:rsidTr="00DC2FC2">
        <w:tc>
          <w:tcPr>
            <w:tcW w:w="6345" w:type="dxa"/>
          </w:tcPr>
          <w:p w14:paraId="6CCB5198" w14:textId="13CA4C1F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Situational analysis</w:t>
            </w:r>
            <w:r>
              <w:rPr>
                <w:rFonts w:ascii="Garamond" w:hAnsi="Garamond"/>
              </w:rPr>
              <w:t xml:space="preserve"> – information on concessions, processes and products in SADC currently</w:t>
            </w:r>
          </w:p>
        </w:tc>
        <w:tc>
          <w:tcPr>
            <w:tcW w:w="2171" w:type="dxa"/>
          </w:tcPr>
          <w:p w14:paraId="4F061D45" w14:textId="6B5B6359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</w:t>
            </w:r>
          </w:p>
        </w:tc>
      </w:tr>
      <w:tr w:rsidR="00923824" w14:paraId="3AE27CE1" w14:textId="77777777" w:rsidTr="00DC2FC2">
        <w:tc>
          <w:tcPr>
            <w:tcW w:w="6345" w:type="dxa"/>
          </w:tcPr>
          <w:p w14:paraId="0D713A42" w14:textId="116E4486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Draft guideline development</w:t>
            </w:r>
            <w:r>
              <w:rPr>
                <w:rFonts w:ascii="Garamond" w:hAnsi="Garamond"/>
              </w:rPr>
              <w:t xml:space="preserve"> – populating the </w:t>
            </w:r>
            <w:proofErr w:type="spellStart"/>
            <w:r>
              <w:rPr>
                <w:rFonts w:ascii="Garamond" w:hAnsi="Garamond"/>
              </w:rPr>
              <w:t>ToC</w:t>
            </w:r>
            <w:proofErr w:type="spellEnd"/>
            <w:r>
              <w:rPr>
                <w:rFonts w:ascii="Garamond" w:hAnsi="Garamond"/>
              </w:rPr>
              <w:t xml:space="preserve"> (version 1)</w:t>
            </w:r>
          </w:p>
        </w:tc>
        <w:tc>
          <w:tcPr>
            <w:tcW w:w="2171" w:type="dxa"/>
          </w:tcPr>
          <w:p w14:paraId="4BD4B9A3" w14:textId="78ED1984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</w:t>
            </w:r>
          </w:p>
        </w:tc>
      </w:tr>
      <w:tr w:rsidR="00436DA9" w14:paraId="18B3A9FB" w14:textId="77777777" w:rsidTr="00DC2FC2">
        <w:tc>
          <w:tcPr>
            <w:tcW w:w="6345" w:type="dxa"/>
          </w:tcPr>
          <w:p w14:paraId="27334481" w14:textId="1489616A" w:rsidR="00436DA9" w:rsidRPr="00436DA9" w:rsidRDefault="00436DA9" w:rsidP="00777B1F">
            <w:pPr>
              <w:ind w:left="7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Translation (French, Portuguese)</w:t>
            </w:r>
          </w:p>
        </w:tc>
        <w:tc>
          <w:tcPr>
            <w:tcW w:w="2171" w:type="dxa"/>
          </w:tcPr>
          <w:p w14:paraId="74D7DFDA" w14:textId="72FEBFD4" w:rsidR="00436DA9" w:rsidRDefault="005056A6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July/</w:t>
            </w:r>
            <w:r w:rsidR="00777B1F">
              <w:rPr>
                <w:rFonts w:ascii="Garamond" w:hAnsi="Garamond"/>
              </w:rPr>
              <w:t>Aug</w:t>
            </w:r>
            <w:r>
              <w:rPr>
                <w:rFonts w:ascii="Garamond" w:hAnsi="Garamond"/>
              </w:rPr>
              <w:t>: 2</w:t>
            </w:r>
            <w:r w:rsidR="00392799">
              <w:rPr>
                <w:rFonts w:ascii="Garamond" w:hAnsi="Garamond"/>
              </w:rPr>
              <w:t xml:space="preserve"> weeks</w:t>
            </w:r>
          </w:p>
        </w:tc>
      </w:tr>
      <w:tr w:rsidR="00923824" w14:paraId="64EEF10D" w14:textId="77777777" w:rsidTr="00DC2FC2">
        <w:tc>
          <w:tcPr>
            <w:tcW w:w="6345" w:type="dxa"/>
          </w:tcPr>
          <w:p w14:paraId="0E8EF4CB" w14:textId="36367F49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Review period</w:t>
            </w:r>
            <w:r>
              <w:rPr>
                <w:rFonts w:ascii="Garamond" w:hAnsi="Garamond"/>
              </w:rPr>
              <w:t xml:space="preserve"> for draft</w:t>
            </w:r>
            <w:r w:rsidR="00436DA9">
              <w:rPr>
                <w:rFonts w:ascii="Garamond" w:hAnsi="Garamond"/>
              </w:rPr>
              <w:t xml:space="preserve"> (English, French, Portuguese)</w:t>
            </w:r>
            <w:r w:rsidR="002901EB">
              <w:rPr>
                <w:rFonts w:ascii="Garamond" w:hAnsi="Garamond"/>
              </w:rPr>
              <w:t xml:space="preserve"> via portal</w:t>
            </w:r>
            <w:r w:rsidR="00F17212">
              <w:rPr>
                <w:rFonts w:ascii="Garamond" w:hAnsi="Garamond"/>
              </w:rPr>
              <w:t xml:space="preserve"> &amp; email</w:t>
            </w:r>
          </w:p>
        </w:tc>
        <w:tc>
          <w:tcPr>
            <w:tcW w:w="2171" w:type="dxa"/>
          </w:tcPr>
          <w:p w14:paraId="1D51C493" w14:textId="79E0E18F" w:rsidR="00923824" w:rsidRDefault="00777B1F" w:rsidP="005F671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5F671D">
              <w:rPr>
                <w:rFonts w:ascii="Garamond" w:hAnsi="Garamond"/>
              </w:rPr>
              <w:t xml:space="preserve"> weeks: </w:t>
            </w:r>
            <w:r w:rsidR="00923824">
              <w:rPr>
                <w:rFonts w:ascii="Garamond" w:hAnsi="Garamond"/>
              </w:rPr>
              <w:t>August</w:t>
            </w:r>
          </w:p>
        </w:tc>
      </w:tr>
      <w:tr w:rsidR="00923824" w14:paraId="0FA19FD0" w14:textId="77777777" w:rsidTr="00DC2FC2">
        <w:tc>
          <w:tcPr>
            <w:tcW w:w="6345" w:type="dxa"/>
          </w:tcPr>
          <w:p w14:paraId="017DF0B4" w14:textId="77777777" w:rsidR="00923824" w:rsidRDefault="00923824" w:rsidP="00777B1F">
            <w:pPr>
              <w:ind w:left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Revision of guideline (version 2)</w:t>
            </w:r>
          </w:p>
        </w:tc>
        <w:tc>
          <w:tcPr>
            <w:tcW w:w="2171" w:type="dxa"/>
          </w:tcPr>
          <w:p w14:paraId="5787CBC8" w14:textId="1847A719" w:rsidR="00923824" w:rsidRDefault="00436DA9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August</w:t>
            </w:r>
          </w:p>
        </w:tc>
      </w:tr>
      <w:tr w:rsidR="00923824" w14:paraId="300BF616" w14:textId="77777777" w:rsidTr="00DC2FC2">
        <w:tc>
          <w:tcPr>
            <w:tcW w:w="6345" w:type="dxa"/>
          </w:tcPr>
          <w:p w14:paraId="79560A1A" w14:textId="63BDD2FB" w:rsidR="00923824" w:rsidRDefault="00436DA9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 xml:space="preserve">Conference </w:t>
            </w:r>
            <w:r>
              <w:rPr>
                <w:rFonts w:ascii="Garamond" w:hAnsi="Garamond"/>
              </w:rPr>
              <w:t>on concessions:</w:t>
            </w:r>
            <w:r w:rsidR="00923824">
              <w:rPr>
                <w:rFonts w:ascii="Garamond" w:hAnsi="Garamond"/>
              </w:rPr>
              <w:t xml:space="preserve"> review and improve the content of the guideline + annexes</w:t>
            </w:r>
            <w:r w:rsidR="00F17212">
              <w:rPr>
                <w:rFonts w:ascii="Garamond" w:hAnsi="Garamond"/>
              </w:rPr>
              <w:t xml:space="preserve"> (Johannesburg)</w:t>
            </w:r>
          </w:p>
        </w:tc>
        <w:tc>
          <w:tcPr>
            <w:tcW w:w="2171" w:type="dxa"/>
          </w:tcPr>
          <w:p w14:paraId="74CE792F" w14:textId="11E59924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1-3 September</w:t>
            </w:r>
          </w:p>
        </w:tc>
      </w:tr>
      <w:tr w:rsidR="00923824" w14:paraId="08991D7E" w14:textId="77777777" w:rsidTr="00DC2FC2">
        <w:tc>
          <w:tcPr>
            <w:tcW w:w="6345" w:type="dxa"/>
          </w:tcPr>
          <w:p w14:paraId="4A8074AA" w14:textId="270B60DC" w:rsidR="00923824" w:rsidRDefault="00923824" w:rsidP="00777B1F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 xml:space="preserve">Revision </w:t>
            </w:r>
            <w:r>
              <w:rPr>
                <w:rFonts w:ascii="Garamond" w:hAnsi="Garamond"/>
              </w:rPr>
              <w:t>of guideline (version 3)</w:t>
            </w:r>
          </w:p>
        </w:tc>
        <w:tc>
          <w:tcPr>
            <w:tcW w:w="2171" w:type="dxa"/>
          </w:tcPr>
          <w:p w14:paraId="3D0875B9" w14:textId="0CC06C28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September</w:t>
            </w:r>
            <w:r w:rsidR="002901EB">
              <w:rPr>
                <w:rFonts w:ascii="Garamond" w:hAnsi="Garamond"/>
              </w:rPr>
              <w:t>/Oct</w:t>
            </w:r>
          </w:p>
        </w:tc>
      </w:tr>
      <w:tr w:rsidR="00923824" w14:paraId="2BD8A02F" w14:textId="77777777" w:rsidTr="00DC2FC2">
        <w:tc>
          <w:tcPr>
            <w:tcW w:w="6345" w:type="dxa"/>
          </w:tcPr>
          <w:p w14:paraId="5995D4D1" w14:textId="14387707" w:rsidR="00923824" w:rsidRDefault="00923824" w:rsidP="00923824">
            <w:pPr>
              <w:rPr>
                <w:rFonts w:ascii="Garamond" w:hAnsi="Garamond"/>
              </w:rPr>
            </w:pPr>
            <w:r w:rsidRPr="002901EB">
              <w:rPr>
                <w:rFonts w:ascii="Garamond" w:hAnsi="Garamond"/>
                <w:b/>
              </w:rPr>
              <w:t>Validation meeting</w:t>
            </w:r>
            <w:r>
              <w:rPr>
                <w:rFonts w:ascii="Garamond" w:hAnsi="Garamond"/>
              </w:rPr>
              <w:t xml:space="preserve"> with SADC/</w:t>
            </w:r>
            <w:proofErr w:type="spellStart"/>
            <w:r>
              <w:rPr>
                <w:rFonts w:ascii="Garamond" w:hAnsi="Garamond"/>
              </w:rPr>
              <w:t>GiZ</w:t>
            </w:r>
            <w:proofErr w:type="spellEnd"/>
            <w:r w:rsidR="00F17212">
              <w:rPr>
                <w:rFonts w:ascii="Garamond" w:hAnsi="Garamond"/>
              </w:rPr>
              <w:t xml:space="preserve"> (Gaborone)</w:t>
            </w:r>
          </w:p>
        </w:tc>
        <w:tc>
          <w:tcPr>
            <w:tcW w:w="2171" w:type="dxa"/>
          </w:tcPr>
          <w:p w14:paraId="64124471" w14:textId="5EFD69EC" w:rsidR="00923824" w:rsidRDefault="002901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 or Nov</w:t>
            </w:r>
          </w:p>
        </w:tc>
      </w:tr>
      <w:tr w:rsidR="00923824" w14:paraId="6B9C1D04" w14:textId="77777777" w:rsidTr="00DC2FC2">
        <w:tc>
          <w:tcPr>
            <w:tcW w:w="6345" w:type="dxa"/>
          </w:tcPr>
          <w:p w14:paraId="044D5B8F" w14:textId="7A8FAC37" w:rsidR="00923824" w:rsidRDefault="00923824" w:rsidP="00777B1F">
            <w:pPr>
              <w:ind w:left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Finalisation of guideline (version 4)</w:t>
            </w:r>
          </w:p>
        </w:tc>
        <w:tc>
          <w:tcPr>
            <w:tcW w:w="2171" w:type="dxa"/>
          </w:tcPr>
          <w:p w14:paraId="26BE3FA3" w14:textId="27F3D211" w:rsidR="00923824" w:rsidRDefault="002901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 or Nov</w:t>
            </w:r>
          </w:p>
        </w:tc>
      </w:tr>
    </w:tbl>
    <w:p w14:paraId="569F5983" w14:textId="77777777" w:rsidR="003F2D6A" w:rsidRDefault="003F2D6A">
      <w:pPr>
        <w:rPr>
          <w:rFonts w:ascii="Garamond" w:hAnsi="Garamond"/>
        </w:rPr>
      </w:pPr>
    </w:p>
    <w:p w14:paraId="4FCE9138" w14:textId="79CC0494" w:rsidR="002901EB" w:rsidRDefault="002901EB">
      <w:pPr>
        <w:rPr>
          <w:rFonts w:ascii="Garamond" w:hAnsi="Garamond"/>
        </w:rPr>
      </w:pPr>
      <w:r w:rsidRPr="005056A6">
        <w:rPr>
          <w:rFonts w:ascii="Garamond" w:hAnsi="Garamond"/>
          <w:b/>
        </w:rPr>
        <w:t>Note:</w:t>
      </w:r>
      <w:r>
        <w:rPr>
          <w:rFonts w:ascii="Garamond" w:hAnsi="Garamond"/>
        </w:rPr>
        <w:t xml:space="preserve"> If an addit</w:t>
      </w:r>
      <w:r w:rsidR="00BC460A">
        <w:rPr>
          <w:rFonts w:ascii="Garamond" w:hAnsi="Garamond"/>
        </w:rPr>
        <w:t xml:space="preserve">ional step of online review </w:t>
      </w:r>
      <w:proofErr w:type="gramStart"/>
      <w:r w:rsidR="00BC460A">
        <w:rPr>
          <w:rFonts w:ascii="Garamond" w:hAnsi="Garamond"/>
        </w:rPr>
        <w:t>is</w:t>
      </w:r>
      <w:proofErr w:type="gramEnd"/>
      <w:r w:rsidR="00BC460A">
        <w:rPr>
          <w:rFonts w:ascii="Garamond" w:hAnsi="Garamond"/>
        </w:rPr>
        <w:t xml:space="preserve"> recommended on</w:t>
      </w:r>
      <w:r>
        <w:rPr>
          <w:rFonts w:ascii="Garamond" w:hAnsi="Garamond"/>
        </w:rPr>
        <w:t xml:space="preserve"> version 3 (including time for translation of the materials), this would add about 1.5 months to the process</w:t>
      </w:r>
      <w:r w:rsidR="00DC2FC2">
        <w:rPr>
          <w:rFonts w:ascii="Garamond" w:hAnsi="Garamond"/>
        </w:rPr>
        <w:t xml:space="preserve">. </w:t>
      </w:r>
    </w:p>
    <w:p w14:paraId="42A5F047" w14:textId="77777777" w:rsidR="002901EB" w:rsidRDefault="002901EB">
      <w:pPr>
        <w:rPr>
          <w:rFonts w:ascii="Garamond" w:hAnsi="Garamond"/>
        </w:rPr>
      </w:pPr>
    </w:p>
    <w:p w14:paraId="2893D048" w14:textId="6E72A887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4. </w:t>
      </w:r>
      <w:r w:rsidR="00637641" w:rsidRPr="001258E9">
        <w:rPr>
          <w:rFonts w:ascii="Garamond" w:hAnsi="Garamond"/>
          <w:b/>
          <w:color w:val="4F6228" w:themeColor="accent3" w:themeShade="80"/>
        </w:rPr>
        <w:t>MARKET</w:t>
      </w:r>
    </w:p>
    <w:p w14:paraId="3A39CBEF" w14:textId="77777777" w:rsidR="003F2D6A" w:rsidRDefault="003F2D6A">
      <w:pPr>
        <w:rPr>
          <w:rFonts w:ascii="Garamond" w:hAnsi="Garamond"/>
          <w:b/>
        </w:rPr>
      </w:pPr>
    </w:p>
    <w:p w14:paraId="17200E76" w14:textId="44944303" w:rsidR="00637641" w:rsidRPr="007D5935" w:rsidRDefault="00637641" w:rsidP="007D593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Primary market:</w:t>
      </w:r>
      <w:r w:rsidRPr="007D5935">
        <w:rPr>
          <w:rFonts w:ascii="Garamond" w:hAnsi="Garamond"/>
        </w:rPr>
        <w:t xml:space="preserve"> TFCA coordinators; protect</w:t>
      </w:r>
      <w:r w:rsidR="00070803" w:rsidRPr="007D5935">
        <w:rPr>
          <w:rFonts w:ascii="Garamond" w:hAnsi="Garamond"/>
        </w:rPr>
        <w:t>ed area authorities/ministries</w:t>
      </w:r>
    </w:p>
    <w:p w14:paraId="43D773B3" w14:textId="7E0DA278" w:rsidR="00637641" w:rsidRPr="007D5935" w:rsidRDefault="00637641" w:rsidP="007D593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Secondary market:</w:t>
      </w:r>
      <w:r w:rsidRPr="007D5935">
        <w:rPr>
          <w:rFonts w:ascii="Garamond" w:hAnsi="Garamond"/>
        </w:rPr>
        <w:t xml:space="preserve"> private sector interested in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concessions, NGOs working with communities</w:t>
      </w:r>
      <w:r w:rsidR="00070803" w:rsidRPr="007D5935">
        <w:rPr>
          <w:rFonts w:ascii="Garamond" w:hAnsi="Garamond"/>
        </w:rPr>
        <w:t xml:space="preserve"> / on tourism</w:t>
      </w:r>
      <w:r w:rsidRPr="007D5935">
        <w:rPr>
          <w:rFonts w:ascii="Garamond" w:hAnsi="Garamond"/>
        </w:rPr>
        <w:t xml:space="preserve"> in TFCAs</w:t>
      </w:r>
    </w:p>
    <w:p w14:paraId="1D5B29CB" w14:textId="77777777" w:rsidR="00ED4EB6" w:rsidRDefault="00ED4EB6">
      <w:pPr>
        <w:rPr>
          <w:rFonts w:ascii="Garamond" w:hAnsi="Garamond"/>
        </w:rPr>
      </w:pPr>
    </w:p>
    <w:p w14:paraId="1E32967F" w14:textId="1843D8E1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5. </w:t>
      </w:r>
      <w:r w:rsidR="00637641" w:rsidRPr="001258E9">
        <w:rPr>
          <w:rFonts w:ascii="Garamond" w:hAnsi="Garamond"/>
          <w:b/>
          <w:color w:val="4F6228" w:themeColor="accent3" w:themeShade="80"/>
        </w:rPr>
        <w:t>STYLE/FORMAT</w:t>
      </w:r>
    </w:p>
    <w:p w14:paraId="56516564" w14:textId="77777777" w:rsidR="003F2D6A" w:rsidRDefault="003F2D6A">
      <w:pPr>
        <w:rPr>
          <w:rFonts w:ascii="Garamond" w:hAnsi="Garamond"/>
          <w:b/>
        </w:rPr>
      </w:pPr>
    </w:p>
    <w:p w14:paraId="20376372" w14:textId="77777777" w:rsidR="001D7E6B" w:rsidRPr="007D5935" w:rsidRDefault="001D7E6B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Format:</w:t>
      </w:r>
      <w:r w:rsidRPr="007D5935">
        <w:rPr>
          <w:rFonts w:ascii="Garamond" w:hAnsi="Garamond"/>
        </w:rPr>
        <w:t xml:space="preserve"> Electronic (</w:t>
      </w:r>
      <w:proofErr w:type="spellStart"/>
      <w:r w:rsidRPr="007D5935">
        <w:rPr>
          <w:rFonts w:ascii="Garamond" w:hAnsi="Garamond"/>
        </w:rPr>
        <w:t>pdf</w:t>
      </w:r>
      <w:proofErr w:type="spellEnd"/>
      <w:r w:rsidRPr="007D5935">
        <w:rPr>
          <w:rFonts w:ascii="Garamond" w:hAnsi="Garamond"/>
        </w:rPr>
        <w:t xml:space="preserve">) </w:t>
      </w:r>
    </w:p>
    <w:p w14:paraId="6903ACE1" w14:textId="2B785712" w:rsidR="00ED4EB6" w:rsidRPr="007D5935" w:rsidRDefault="001D7E6B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Length:</w:t>
      </w:r>
      <w:r w:rsidRPr="007D5935">
        <w:rPr>
          <w:rFonts w:ascii="Garamond" w:hAnsi="Garamond"/>
        </w:rPr>
        <w:t xml:space="preserve"> 20-30 pages + annexes</w:t>
      </w:r>
    </w:p>
    <w:p w14:paraId="68A71845" w14:textId="6D5B0F57" w:rsidR="00ED4EB6" w:rsidRPr="007D5935" w:rsidRDefault="00ED4EB6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Content:</w:t>
      </w:r>
      <w:r w:rsidRPr="007D5935">
        <w:rPr>
          <w:rFonts w:ascii="Garamond" w:hAnsi="Garamond"/>
        </w:rPr>
        <w:t xml:space="preserve"> Text, colour photos, tables, line drawings</w:t>
      </w:r>
    </w:p>
    <w:p w14:paraId="185AE505" w14:textId="24B1B4CE" w:rsidR="00ED4EB6" w:rsidRPr="007D5935" w:rsidRDefault="00ED4EB6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Style:</w:t>
      </w:r>
      <w:r w:rsidRPr="007D5935">
        <w:rPr>
          <w:rFonts w:ascii="Garamond" w:hAnsi="Garamond"/>
        </w:rPr>
        <w:t xml:space="preserve"> Generic guidelines</w:t>
      </w:r>
      <w:r w:rsidR="00637641" w:rsidRPr="007D5935">
        <w:rPr>
          <w:rFonts w:ascii="Garamond" w:hAnsi="Garamond"/>
        </w:rPr>
        <w:t xml:space="preserve"> (simple, clear, concise)</w:t>
      </w:r>
      <w:r w:rsidRPr="007D5935">
        <w:rPr>
          <w:rFonts w:ascii="Garamond" w:hAnsi="Garamond"/>
        </w:rPr>
        <w:t xml:space="preserve">, </w:t>
      </w:r>
      <w:r w:rsidR="00637641" w:rsidRPr="007D5935">
        <w:rPr>
          <w:rFonts w:ascii="Garamond" w:hAnsi="Garamond"/>
        </w:rPr>
        <w:t xml:space="preserve">brief case study </w:t>
      </w:r>
      <w:r w:rsidRPr="007D5935">
        <w:rPr>
          <w:rFonts w:ascii="Garamond" w:hAnsi="Garamond"/>
        </w:rPr>
        <w:t>examples, end of chapter references/links</w:t>
      </w:r>
    </w:p>
    <w:p w14:paraId="5AC87CD7" w14:textId="77777777" w:rsidR="001D7E6B" w:rsidRDefault="001D7E6B">
      <w:pPr>
        <w:rPr>
          <w:rFonts w:ascii="Garamond" w:hAnsi="Garamond"/>
        </w:rPr>
      </w:pPr>
    </w:p>
    <w:p w14:paraId="586A21B1" w14:textId="2BF216BF" w:rsidR="001D7E6B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6. </w:t>
      </w:r>
      <w:r w:rsidR="00070803" w:rsidRPr="001258E9">
        <w:rPr>
          <w:rFonts w:ascii="Garamond" w:hAnsi="Garamond"/>
          <w:b/>
          <w:color w:val="4F6228" w:themeColor="accent3" w:themeShade="80"/>
        </w:rPr>
        <w:t>DISSEMINATION</w:t>
      </w:r>
    </w:p>
    <w:p w14:paraId="0BAB97CE" w14:textId="77777777" w:rsidR="003F2D6A" w:rsidRDefault="003F2D6A">
      <w:pPr>
        <w:rPr>
          <w:rFonts w:ascii="Garamond" w:hAnsi="Garamond"/>
        </w:rPr>
      </w:pPr>
    </w:p>
    <w:p w14:paraId="33B207E8" w14:textId="42286145" w:rsidR="00070803" w:rsidRPr="005056A6" w:rsidRDefault="00070803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>Distribution to SADC member states, their protected area agenci</w:t>
      </w:r>
      <w:r w:rsidR="005056A6">
        <w:rPr>
          <w:rFonts w:ascii="Garamond" w:hAnsi="Garamond"/>
        </w:rPr>
        <w:t>es, and the SADC TFCA network via the portal and direct email</w:t>
      </w:r>
    </w:p>
    <w:p w14:paraId="2BDC1802" w14:textId="77777777" w:rsidR="005056A6" w:rsidRPr="005056A6" w:rsidRDefault="005056A6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>SADC TFCA website</w:t>
      </w:r>
    </w:p>
    <w:p w14:paraId="18427FA0" w14:textId="78BAFD52" w:rsidR="00070803" w:rsidRPr="005056A6" w:rsidRDefault="005056A6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Event at the World </w:t>
      </w:r>
      <w:r w:rsidR="00070803" w:rsidRPr="005056A6">
        <w:rPr>
          <w:rFonts w:ascii="Garamond" w:hAnsi="Garamond"/>
        </w:rPr>
        <w:t>P</w:t>
      </w:r>
      <w:r>
        <w:rPr>
          <w:rFonts w:ascii="Garamond" w:hAnsi="Garamond"/>
        </w:rPr>
        <w:t xml:space="preserve">arks </w:t>
      </w:r>
      <w:r w:rsidR="00070803" w:rsidRPr="005056A6">
        <w:rPr>
          <w:rFonts w:ascii="Garamond" w:hAnsi="Garamond"/>
        </w:rPr>
        <w:t>C</w:t>
      </w:r>
      <w:r>
        <w:rPr>
          <w:rFonts w:ascii="Garamond" w:hAnsi="Garamond"/>
        </w:rPr>
        <w:t>ongress</w:t>
      </w:r>
      <w:r w:rsidR="00070803" w:rsidRPr="005056A6">
        <w:rPr>
          <w:rFonts w:ascii="Garamond" w:hAnsi="Garamond"/>
        </w:rPr>
        <w:t xml:space="preserve"> (Nov 2014)</w:t>
      </w:r>
    </w:p>
    <w:p w14:paraId="6EA0493F" w14:textId="41410C76" w:rsidR="00070803" w:rsidRPr="005056A6" w:rsidRDefault="00070803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 xml:space="preserve">Via groups: WCPA Tourism and Protected Areas Specialist Group; WCPA </w:t>
      </w:r>
      <w:proofErr w:type="spellStart"/>
      <w:r w:rsidRPr="005056A6">
        <w:rPr>
          <w:rFonts w:ascii="Garamond" w:hAnsi="Garamond"/>
        </w:rPr>
        <w:t>Transboundary</w:t>
      </w:r>
      <w:proofErr w:type="spellEnd"/>
      <w:r w:rsidRPr="005056A6">
        <w:rPr>
          <w:rFonts w:ascii="Garamond" w:hAnsi="Garamond"/>
        </w:rPr>
        <w:t xml:space="preserve"> Specialist Group</w:t>
      </w:r>
    </w:p>
    <w:p w14:paraId="7A9B581E" w14:textId="77777777" w:rsidR="001D7E6B" w:rsidRDefault="001D7E6B">
      <w:pPr>
        <w:rPr>
          <w:rFonts w:ascii="Garamond" w:hAnsi="Garamond"/>
        </w:rPr>
      </w:pPr>
    </w:p>
    <w:p w14:paraId="108B9988" w14:textId="77777777" w:rsidR="002B31FF" w:rsidRPr="001D7E6B" w:rsidRDefault="002B31FF">
      <w:pPr>
        <w:rPr>
          <w:rFonts w:ascii="Garamond" w:hAnsi="Garamond"/>
        </w:rPr>
      </w:pPr>
    </w:p>
    <w:sectPr w:rsidR="002B31FF" w:rsidRPr="001D7E6B" w:rsidSect="00D435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607"/>
    <w:multiLevelType w:val="hybridMultilevel"/>
    <w:tmpl w:val="C15EEE90"/>
    <w:lvl w:ilvl="0" w:tplc="F3220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6E93"/>
    <w:multiLevelType w:val="hybridMultilevel"/>
    <w:tmpl w:val="7C9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C84"/>
    <w:multiLevelType w:val="hybridMultilevel"/>
    <w:tmpl w:val="B3B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5473"/>
    <w:multiLevelType w:val="hybridMultilevel"/>
    <w:tmpl w:val="2E2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2DF1"/>
    <w:multiLevelType w:val="hybridMultilevel"/>
    <w:tmpl w:val="5FE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5B21"/>
    <w:multiLevelType w:val="multilevel"/>
    <w:tmpl w:val="C67C0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117D6E"/>
    <w:multiLevelType w:val="hybridMultilevel"/>
    <w:tmpl w:val="8656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439D"/>
    <w:multiLevelType w:val="hybridMultilevel"/>
    <w:tmpl w:val="39087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1C7DAA"/>
    <w:multiLevelType w:val="hybridMultilevel"/>
    <w:tmpl w:val="7A12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577A6"/>
    <w:multiLevelType w:val="hybridMultilevel"/>
    <w:tmpl w:val="B6A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56C30"/>
    <w:multiLevelType w:val="hybridMultilevel"/>
    <w:tmpl w:val="659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1F5A"/>
    <w:multiLevelType w:val="hybridMultilevel"/>
    <w:tmpl w:val="CDB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539A4"/>
    <w:multiLevelType w:val="hybridMultilevel"/>
    <w:tmpl w:val="1EE21606"/>
    <w:lvl w:ilvl="0" w:tplc="F3220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F2940"/>
    <w:multiLevelType w:val="hybridMultilevel"/>
    <w:tmpl w:val="730A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3BEE"/>
    <w:multiLevelType w:val="multilevel"/>
    <w:tmpl w:val="C15EEE9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F"/>
    <w:rsid w:val="00045559"/>
    <w:rsid w:val="000476FF"/>
    <w:rsid w:val="00070803"/>
    <w:rsid w:val="00074AD1"/>
    <w:rsid w:val="00086E3A"/>
    <w:rsid w:val="000919D8"/>
    <w:rsid w:val="000D198B"/>
    <w:rsid w:val="000E435B"/>
    <w:rsid w:val="001258E9"/>
    <w:rsid w:val="001D7E6B"/>
    <w:rsid w:val="00200677"/>
    <w:rsid w:val="002901EB"/>
    <w:rsid w:val="002B31FF"/>
    <w:rsid w:val="002C5EA2"/>
    <w:rsid w:val="00305058"/>
    <w:rsid w:val="00392799"/>
    <w:rsid w:val="003F2D6A"/>
    <w:rsid w:val="00436DA9"/>
    <w:rsid w:val="005056A6"/>
    <w:rsid w:val="00571495"/>
    <w:rsid w:val="00597991"/>
    <w:rsid w:val="005C107E"/>
    <w:rsid w:val="005F5839"/>
    <w:rsid w:val="005F671D"/>
    <w:rsid w:val="006271CE"/>
    <w:rsid w:val="00637641"/>
    <w:rsid w:val="006669B9"/>
    <w:rsid w:val="007241D0"/>
    <w:rsid w:val="00777B1F"/>
    <w:rsid w:val="007D5935"/>
    <w:rsid w:val="007F3494"/>
    <w:rsid w:val="008230DE"/>
    <w:rsid w:val="00923824"/>
    <w:rsid w:val="00942C43"/>
    <w:rsid w:val="00994587"/>
    <w:rsid w:val="00A276CD"/>
    <w:rsid w:val="00A816A3"/>
    <w:rsid w:val="00AE4B47"/>
    <w:rsid w:val="00B5658C"/>
    <w:rsid w:val="00BC460A"/>
    <w:rsid w:val="00BE5956"/>
    <w:rsid w:val="00C457CF"/>
    <w:rsid w:val="00D43524"/>
    <w:rsid w:val="00D5240F"/>
    <w:rsid w:val="00D84803"/>
    <w:rsid w:val="00D86951"/>
    <w:rsid w:val="00DC2FC2"/>
    <w:rsid w:val="00DD41DA"/>
    <w:rsid w:val="00DE7CA4"/>
    <w:rsid w:val="00E31207"/>
    <w:rsid w:val="00E611F4"/>
    <w:rsid w:val="00ED4EB6"/>
    <w:rsid w:val="00F17212"/>
    <w:rsid w:val="00F91769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0B0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er 2"/>
    <w:basedOn w:val="Normal"/>
    <w:link w:val="Heading2Char"/>
    <w:autoRedefine/>
    <w:uiPriority w:val="9"/>
    <w:unhideWhenUsed/>
    <w:qFormat/>
    <w:rsid w:val="00305058"/>
    <w:pPr>
      <w:keepNext/>
      <w:keepLines/>
      <w:numPr>
        <w:ilvl w:val="1"/>
        <w:numId w:val="2"/>
      </w:numPr>
      <w:ind w:left="792" w:hanging="432"/>
      <w:outlineLvl w:val="1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05058"/>
    <w:rPr>
      <w:rFonts w:ascii="Calibri" w:eastAsia="MS Gothic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B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1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4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er 2"/>
    <w:basedOn w:val="Normal"/>
    <w:link w:val="Heading2Char"/>
    <w:autoRedefine/>
    <w:uiPriority w:val="9"/>
    <w:unhideWhenUsed/>
    <w:qFormat/>
    <w:rsid w:val="00305058"/>
    <w:pPr>
      <w:keepNext/>
      <w:keepLines/>
      <w:numPr>
        <w:ilvl w:val="1"/>
        <w:numId w:val="2"/>
      </w:numPr>
      <w:ind w:left="792" w:hanging="432"/>
      <w:outlineLvl w:val="1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05058"/>
    <w:rPr>
      <w:rFonts w:ascii="Calibri" w:eastAsia="MS Gothic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B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1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4019</Characters>
  <Application>Microsoft Macintosh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2014-07-15T07:04:00Z</dcterms:created>
  <dcterms:modified xsi:type="dcterms:W3CDTF">2014-07-15T07:07:00Z</dcterms:modified>
</cp:coreProperties>
</file>