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DE9" w:rsidRDefault="00A95DE9" w:rsidP="00C271E2">
      <w:pPr>
        <w:pStyle w:val="Title"/>
        <w:jc w:val="center"/>
      </w:pPr>
      <w:r>
        <w:t>SADC TFCA Guideline</w:t>
      </w:r>
    </w:p>
    <w:p w:rsidR="00A95DE9" w:rsidRDefault="00A95DE9" w:rsidP="00C271E2">
      <w:pPr>
        <w:pStyle w:val="Title"/>
        <w:jc w:val="center"/>
      </w:pPr>
      <w:r>
        <w:t>Luanda Workshop – 24-25 April 2014</w:t>
      </w:r>
    </w:p>
    <w:p w:rsidR="00B376EE" w:rsidRDefault="00A95DE9" w:rsidP="00C271E2">
      <w:pPr>
        <w:pStyle w:val="Title"/>
        <w:jc w:val="center"/>
      </w:pPr>
      <w:r>
        <w:t>Small Group Discussion T</w:t>
      </w:r>
      <w:r w:rsidR="00791B53">
        <w:t>emplates</w:t>
      </w:r>
    </w:p>
    <w:p w:rsidR="00DD1A85" w:rsidRPr="00DD1A85" w:rsidRDefault="00DD1A85" w:rsidP="00DD1A85">
      <w:r>
        <w:t>The proceedings of all small group discussions are to be captured on directly onto the various templates on computer.  Groups are to elect a rapporteur who is proficient in typing and will be able to capture inputs as the group discussions proceed, and who will be able to then use the computer generated document to provide feedback to plenary.</w:t>
      </w:r>
    </w:p>
    <w:p w:rsidR="00791B53" w:rsidRDefault="00791B53" w:rsidP="00791B53">
      <w:pPr>
        <w:pStyle w:val="Heading1"/>
      </w:pPr>
      <w:r>
        <w:t>Small Group Session 1: Sections 2 to 5</w:t>
      </w:r>
    </w:p>
    <w:p w:rsidR="00791B53" w:rsidRDefault="00791B53" w:rsidP="00791B53"/>
    <w:p w:rsidR="00791B53" w:rsidRDefault="00791B53" w:rsidP="00791B53">
      <w:pPr>
        <w:pStyle w:val="Heading2"/>
      </w:pPr>
      <w:r>
        <w:t>Group A: Definitions</w:t>
      </w:r>
    </w:p>
    <w:p w:rsidR="00791B53" w:rsidRDefault="00791B53" w:rsidP="00791B53">
      <w:r w:rsidRPr="00EA56B5">
        <w:rPr>
          <w:b/>
        </w:rPr>
        <w:t>Objective of the discussion</w:t>
      </w:r>
      <w:r>
        <w:t>:</w:t>
      </w:r>
      <w:r w:rsidR="00EA56B5">
        <w:t xml:space="preserve"> c</w:t>
      </w:r>
      <w:r>
        <w:t>ritically review the existing defi</w:t>
      </w:r>
      <w:r w:rsidR="00EA56B5">
        <w:t>nitions and either confirm their</w:t>
      </w:r>
      <w:r>
        <w:t xml:space="preserve"> acceptability for the Guidelines, or suggest amendments.</w:t>
      </w:r>
    </w:p>
    <w:p w:rsidR="00791B53" w:rsidRDefault="00791B53" w:rsidP="00791B53">
      <w:r>
        <w:t>Current definitions are as follows:</w:t>
      </w:r>
    </w:p>
    <w:p w:rsidR="00791B53" w:rsidRDefault="00791B53" w:rsidP="005A71EE">
      <w:pPr>
        <w:pStyle w:val="Heading3"/>
      </w:pPr>
      <w:r>
        <w:t>IUCN</w:t>
      </w:r>
      <w:r w:rsidR="005A71EE">
        <w:t xml:space="preserve"> (based on the current revision of the global best practice guidelines)</w:t>
      </w:r>
    </w:p>
    <w:p w:rsidR="005A71EE" w:rsidRPr="00203B64" w:rsidRDefault="00B535A8" w:rsidP="005A71EE">
      <w:pPr>
        <w:spacing w:after="0" w:line="360" w:lineRule="auto"/>
        <w:rPr>
          <w:b/>
          <w:lang w:val="en-GB"/>
        </w:rPr>
      </w:pPr>
      <w:r>
        <w:rPr>
          <w:b/>
          <w:lang w:val="en-GB"/>
        </w:rPr>
        <w:t>S</w:t>
      </w:r>
      <w:r w:rsidR="005A71EE" w:rsidRPr="00203B64">
        <w:rPr>
          <w:b/>
          <w:lang w:val="en-GB"/>
        </w:rPr>
        <w:t>uggested Definition of Transboun</w:t>
      </w:r>
      <w:r w:rsidR="005A71EE">
        <w:rPr>
          <w:b/>
          <w:lang w:val="en-GB"/>
        </w:rPr>
        <w:t>d</w:t>
      </w:r>
      <w:r w:rsidR="005A71EE" w:rsidRPr="00203B64">
        <w:rPr>
          <w:b/>
          <w:lang w:val="en-GB"/>
        </w:rPr>
        <w:t>ary Conservation</w:t>
      </w:r>
    </w:p>
    <w:p w:rsidR="005A71EE" w:rsidRDefault="005A71EE" w:rsidP="005A71EE">
      <w:pPr>
        <w:rPr>
          <w:lang w:val="en-GB"/>
        </w:rPr>
      </w:pPr>
      <w:r w:rsidRPr="00203B64">
        <w:rPr>
          <w:lang w:val="en-GB"/>
        </w:rPr>
        <w:t xml:space="preserve">Transboundary conservation is a process to achieve conservation goals through the shared governance and cooperative management of ecosystems </w:t>
      </w:r>
      <w:r>
        <w:rPr>
          <w:lang w:val="en-GB"/>
        </w:rPr>
        <w:t>and/</w:t>
      </w:r>
      <w:r w:rsidRPr="00203B64">
        <w:rPr>
          <w:lang w:val="en-GB"/>
        </w:rPr>
        <w:t xml:space="preserve">or species </w:t>
      </w:r>
      <w:r>
        <w:rPr>
          <w:lang w:val="en-GB"/>
        </w:rPr>
        <w:t>across</w:t>
      </w:r>
      <w:r w:rsidRPr="00203B64">
        <w:rPr>
          <w:lang w:val="en-GB"/>
        </w:rPr>
        <w:t xml:space="preserve"> one or more international boundaries.</w:t>
      </w:r>
    </w:p>
    <w:p w:rsidR="005A71EE" w:rsidRPr="00203B64" w:rsidRDefault="005A71EE" w:rsidP="005A71EE">
      <w:pPr>
        <w:spacing w:after="0" w:line="360" w:lineRule="auto"/>
        <w:rPr>
          <w:b/>
          <w:lang w:val="en-GB"/>
        </w:rPr>
      </w:pPr>
      <w:r w:rsidRPr="00203B64">
        <w:rPr>
          <w:b/>
          <w:lang w:val="en-GB"/>
        </w:rPr>
        <w:t>Suggested Revised Definition of Transboundary Protected Area</w:t>
      </w:r>
    </w:p>
    <w:p w:rsidR="005A71EE" w:rsidRDefault="005A71EE" w:rsidP="005A71EE">
      <w:pPr>
        <w:rPr>
          <w:rFonts w:ascii="Calibri" w:hAnsi="Calibri"/>
          <w:sz w:val="21"/>
          <w:szCs w:val="21"/>
        </w:rPr>
      </w:pPr>
      <w:r w:rsidRPr="00203B64">
        <w:t>A tr</w:t>
      </w:r>
      <w:r>
        <w:t>ansboundary protected area is a clearly defined geographical space</w:t>
      </w:r>
      <w:r w:rsidRPr="00203B64">
        <w:t xml:space="preserve"> that includes protected areas</w:t>
      </w:r>
      <w:r>
        <w:rPr>
          <w:rStyle w:val="FootnoteReference"/>
        </w:rPr>
        <w:footnoteReference w:id="1"/>
      </w:r>
      <w:r w:rsidRPr="00203B64">
        <w:t xml:space="preserve"> that are ecologically connected across one or more international boundaries and are cooperatively managed.</w:t>
      </w:r>
    </w:p>
    <w:p w:rsidR="005A71EE" w:rsidRDefault="00B535A8" w:rsidP="00791B53">
      <w:pPr>
        <w:rPr>
          <w:rFonts w:ascii="Calibri" w:hAnsi="Calibri"/>
          <w:sz w:val="21"/>
          <w:szCs w:val="21"/>
        </w:rPr>
      </w:pPr>
      <w:r>
        <w:rPr>
          <w:rFonts w:ascii="Calibri" w:hAnsi="Calibri"/>
          <w:sz w:val="21"/>
          <w:szCs w:val="21"/>
        </w:rPr>
        <w:t xml:space="preserve">A </w:t>
      </w:r>
      <w:r>
        <w:rPr>
          <w:rFonts w:ascii="Calibri" w:hAnsi="Calibri"/>
          <w:b/>
          <w:bCs/>
          <w:sz w:val="21"/>
          <w:szCs w:val="21"/>
        </w:rPr>
        <w:t xml:space="preserve">transboundary conservation landscape and/or seascape </w:t>
      </w:r>
      <w:r>
        <w:rPr>
          <w:rFonts w:ascii="Calibri" w:hAnsi="Calibri"/>
          <w:sz w:val="21"/>
          <w:szCs w:val="21"/>
        </w:rPr>
        <w:t>(TBCL/S) is a cooperatively managed ecologically connected area that sustains ecological processes and crosses one or more international boundaries and which includes protected areas as well as multiple resource use areas.</w:t>
      </w:r>
    </w:p>
    <w:p w:rsidR="00B535A8" w:rsidRPr="00B535A8" w:rsidRDefault="00B535A8" w:rsidP="00B535A8">
      <w:pPr>
        <w:rPr>
          <w:b/>
          <w:lang w:val="en-GB"/>
        </w:rPr>
      </w:pPr>
      <w:r w:rsidRPr="00B535A8">
        <w:rPr>
          <w:b/>
          <w:lang w:val="en-GB"/>
        </w:rPr>
        <w:t>Suggested Revised Definition of Transboundary Migratory Corridor</w:t>
      </w:r>
    </w:p>
    <w:p w:rsidR="00B535A8" w:rsidRPr="00B535A8" w:rsidRDefault="00B535A8" w:rsidP="00B535A8">
      <w:pPr>
        <w:rPr>
          <w:lang w:val="en-US"/>
        </w:rPr>
      </w:pPr>
      <w:r w:rsidRPr="00B535A8">
        <w:rPr>
          <w:lang w:val="en-US"/>
        </w:rPr>
        <w:t>Transboundary migratory corridors are areas of wildlife habitat across one or more international boundaries, which are ecologically connected, are necessary to sustain one or more biological migratory pathways, and are cooperatively and sustainably managed.</w:t>
      </w:r>
    </w:p>
    <w:p w:rsidR="00B535A8" w:rsidRPr="00B535A8" w:rsidRDefault="00B535A8" w:rsidP="00B535A8">
      <w:pPr>
        <w:rPr>
          <w:b/>
          <w:lang w:val="en-GB"/>
        </w:rPr>
      </w:pPr>
      <w:r w:rsidRPr="00B535A8">
        <w:rPr>
          <w:b/>
          <w:lang w:val="en-GB"/>
        </w:rPr>
        <w:lastRenderedPageBreak/>
        <w:t>Suggested Revised Definition of Park for Peace</w:t>
      </w:r>
    </w:p>
    <w:p w:rsidR="00B535A8" w:rsidRDefault="00B535A8" w:rsidP="00B535A8">
      <w:pPr>
        <w:rPr>
          <w:lang w:val="en-US"/>
        </w:rPr>
      </w:pPr>
      <w:r w:rsidRPr="00B535A8">
        <w:rPr>
          <w:lang w:val="en-US"/>
        </w:rPr>
        <w:t>A Park for Peace is a special designation that may be applied to any of the three types of transboundary conservation areas that is dedicated to the promotion, celebrations, and/or commemoration of peace and cooperation.</w:t>
      </w:r>
    </w:p>
    <w:p w:rsidR="00B535A8" w:rsidRDefault="00B535A8" w:rsidP="00B535A8">
      <w:pPr>
        <w:rPr>
          <w:lang w:val="en-US"/>
        </w:rPr>
      </w:pPr>
    </w:p>
    <w:p w:rsidR="00B535A8" w:rsidRDefault="00B535A8" w:rsidP="00B535A8">
      <w:pPr>
        <w:pStyle w:val="Heading3"/>
      </w:pPr>
      <w:r>
        <w:t xml:space="preserve">SADC Definition based on </w:t>
      </w:r>
      <w:r w:rsidR="00EA56B5">
        <w:t>the Protocol on Wildlife Conservation and Law Enforcement</w:t>
      </w:r>
    </w:p>
    <w:p w:rsidR="00B535A8" w:rsidRPr="00B535A8" w:rsidRDefault="00B535A8" w:rsidP="00B535A8">
      <w:r>
        <w:rPr>
          <w:b/>
        </w:rPr>
        <w:t>Conservation:</w:t>
      </w:r>
      <w:r>
        <w:t xml:space="preserve"> the protection, maintenance, rehabilitation, restoration and enhancement of wildlife and includes the management of the use of wildlife to ensure the sustainability of such use</w:t>
      </w:r>
    </w:p>
    <w:p w:rsidR="00B535A8" w:rsidRPr="00B535A8" w:rsidRDefault="00B535A8" w:rsidP="00B535A8">
      <w:r>
        <w:rPr>
          <w:b/>
        </w:rPr>
        <w:t>Transfrontier conservation area:</w:t>
      </w:r>
      <w:r>
        <w:t xml:space="preserve"> the area or the component of a large ecological region that straddles the boundaries of two or more countries encompassing one or more protected areas, as well as multiple resources use areas.</w:t>
      </w:r>
    </w:p>
    <w:p w:rsidR="00B535A8" w:rsidRPr="00657018" w:rsidRDefault="00657018" w:rsidP="00B535A8">
      <w:pPr>
        <w:rPr>
          <w:noProof/>
          <w:lang w:eastAsia="en-ZA"/>
        </w:rPr>
      </w:pPr>
      <w:r>
        <w:rPr>
          <w:b/>
          <w:noProof/>
          <w:lang w:eastAsia="en-ZA"/>
        </w:rPr>
        <w:t>Sustainable use</w:t>
      </w:r>
      <w:r>
        <w:rPr>
          <w:noProof/>
          <w:lang w:eastAsia="en-ZA"/>
        </w:rPr>
        <w:t>: means use in a way and at a rate that does not lead to the long-term decline of wildlife species.</w:t>
      </w:r>
    </w:p>
    <w:p w:rsidR="00657018" w:rsidRDefault="00CC703A" w:rsidP="00B535A8">
      <w:r>
        <w:t>It is possible that this small group session could reach consensus on the definitions well within the time allocated.  If this is the case, then participants are urged to join other small group discussions.</w:t>
      </w:r>
    </w:p>
    <w:p w:rsidR="00CC703A" w:rsidRDefault="00CC703A" w:rsidP="00B535A8"/>
    <w:p w:rsidR="00CC703A" w:rsidRDefault="00CC703A" w:rsidP="00CC703A">
      <w:pPr>
        <w:pStyle w:val="Heading2"/>
      </w:pPr>
      <w:r>
        <w:t>Group B: The value/benefits of TFCAs (packaging the concept)</w:t>
      </w:r>
    </w:p>
    <w:p w:rsidR="00DD1A85" w:rsidRDefault="00DD1A85" w:rsidP="00CC703A">
      <w:r>
        <w:t>A table of potential benefits listed according to the categories covered in the Table of Contents will be provided as a basis to guide the discussions.  The group is asked to work through the table systematically and to note if there are any benefits that have been excluded, as well as providing any comments that are relevant and which can improve the table of benefits.  The reviewed table of benefits will then be used to ensure that the various sub-sections are as comprehensive as possible.</w:t>
      </w:r>
    </w:p>
    <w:p w:rsidR="00DD1A85" w:rsidRDefault="00DD1A85" w:rsidP="00CC703A">
      <w:r>
        <w:t>In addition to this the group will be required to provide the following information pertaining to each of the sub-sections:</w:t>
      </w:r>
    </w:p>
    <w:p w:rsidR="00A13D02" w:rsidRDefault="00A13D02" w:rsidP="00DD1A85">
      <w:pPr>
        <w:pStyle w:val="ListParagraph"/>
        <w:numPr>
          <w:ilvl w:val="0"/>
          <w:numId w:val="1"/>
        </w:numPr>
      </w:pPr>
      <w:r>
        <w:t>Suggestions as to additional content that may be included in any of the sub-sections;</w:t>
      </w:r>
    </w:p>
    <w:p w:rsidR="00A13D02" w:rsidRDefault="00A13D02" w:rsidP="00DD1A85">
      <w:pPr>
        <w:pStyle w:val="ListParagraph"/>
        <w:numPr>
          <w:ilvl w:val="0"/>
          <w:numId w:val="1"/>
        </w:numPr>
      </w:pPr>
      <w:r>
        <w:t>Relevant reference material appropriate to any sub-section</w:t>
      </w:r>
    </w:p>
    <w:p w:rsidR="00DD1A85" w:rsidRDefault="00A13D02" w:rsidP="00DD1A85">
      <w:pPr>
        <w:pStyle w:val="ListParagraph"/>
        <w:numPr>
          <w:ilvl w:val="0"/>
          <w:numId w:val="1"/>
        </w:numPr>
      </w:pPr>
      <w:r>
        <w:t>The names and contact details of SADC TFCA practitioners who will be well placed to contribute to any of the sub-sections;</w:t>
      </w:r>
    </w:p>
    <w:p w:rsidR="00A13D02" w:rsidRDefault="00A13D02" w:rsidP="00DD1A85">
      <w:pPr>
        <w:pStyle w:val="ListParagraph"/>
        <w:numPr>
          <w:ilvl w:val="0"/>
          <w:numId w:val="1"/>
        </w:numPr>
      </w:pPr>
      <w:r>
        <w:t>Details as to what these contributions may entail; and</w:t>
      </w:r>
    </w:p>
    <w:p w:rsidR="00A13D02" w:rsidRDefault="00A13D02" w:rsidP="00DD1A85">
      <w:pPr>
        <w:pStyle w:val="ListParagraph"/>
        <w:numPr>
          <w:ilvl w:val="0"/>
          <w:numId w:val="1"/>
        </w:numPr>
      </w:pPr>
      <w:r>
        <w:t>An indication as to when the contribution may be received.</w:t>
      </w:r>
    </w:p>
    <w:p w:rsidR="00F27E9F" w:rsidRDefault="00F27E9F" w:rsidP="00F27E9F"/>
    <w:p w:rsidR="005C7052" w:rsidRDefault="005C7052" w:rsidP="00A13D02">
      <w:pPr>
        <w:sectPr w:rsidR="005C7052">
          <w:pgSz w:w="11906" w:h="16838"/>
          <w:pgMar w:top="1440" w:right="1440" w:bottom="1440" w:left="1440" w:header="708" w:footer="708" w:gutter="0"/>
          <w:cols w:space="708"/>
          <w:docGrid w:linePitch="360"/>
        </w:sectPr>
      </w:pPr>
    </w:p>
    <w:tbl>
      <w:tblPr>
        <w:tblStyle w:val="LightGrid-Accent3"/>
        <w:tblW w:w="0" w:type="auto"/>
        <w:tblLook w:val="04A0" w:firstRow="1" w:lastRow="0" w:firstColumn="1" w:lastColumn="0" w:noHBand="0" w:noVBand="1"/>
      </w:tblPr>
      <w:tblGrid>
        <w:gridCol w:w="1445"/>
        <w:gridCol w:w="4050"/>
        <w:gridCol w:w="4111"/>
        <w:gridCol w:w="4110"/>
      </w:tblGrid>
      <w:tr w:rsidR="00F27E9F" w:rsidTr="00A9083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45" w:type="dxa"/>
            <w:shd w:val="clear" w:color="auto" w:fill="4F6228" w:themeFill="accent3" w:themeFillShade="80"/>
          </w:tcPr>
          <w:p w:rsidR="00F27E9F" w:rsidRPr="00CD5ECD" w:rsidRDefault="00F27E9F" w:rsidP="00A90836">
            <w:pPr>
              <w:jc w:val="center"/>
              <w:rPr>
                <w:color w:val="FFFFFF" w:themeColor="background1"/>
              </w:rPr>
            </w:pPr>
            <w:r>
              <w:rPr>
                <w:color w:val="FFFFFF" w:themeColor="background1"/>
              </w:rPr>
              <w:lastRenderedPageBreak/>
              <w:t>Areas of cooperation</w:t>
            </w:r>
          </w:p>
        </w:tc>
        <w:tc>
          <w:tcPr>
            <w:tcW w:w="4050" w:type="dxa"/>
            <w:shd w:val="clear" w:color="auto" w:fill="4F6228" w:themeFill="accent3" w:themeFillShade="80"/>
          </w:tcPr>
          <w:p w:rsidR="00F27E9F" w:rsidRPr="00CD5ECD" w:rsidRDefault="00F27E9F" w:rsidP="00A90836">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Potential benefits</w:t>
            </w:r>
          </w:p>
        </w:tc>
        <w:tc>
          <w:tcPr>
            <w:tcW w:w="4111" w:type="dxa"/>
            <w:shd w:val="clear" w:color="auto" w:fill="4F6228" w:themeFill="accent3" w:themeFillShade="80"/>
          </w:tcPr>
          <w:p w:rsidR="00F27E9F" w:rsidRPr="00CD5ECD" w:rsidRDefault="00F27E9F" w:rsidP="00A90836">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Additional benefits</w:t>
            </w:r>
          </w:p>
        </w:tc>
        <w:tc>
          <w:tcPr>
            <w:tcW w:w="4110" w:type="dxa"/>
            <w:shd w:val="clear" w:color="auto" w:fill="4F6228" w:themeFill="accent3" w:themeFillShade="80"/>
          </w:tcPr>
          <w:p w:rsidR="00F27E9F" w:rsidRDefault="00F27E9F" w:rsidP="00A90836">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Comments</w:t>
            </w:r>
          </w:p>
        </w:tc>
      </w:tr>
      <w:tr w:rsidR="00F27E9F" w:rsidTr="00A90836">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445" w:type="dxa"/>
          </w:tcPr>
          <w:p w:rsidR="00F27E9F" w:rsidRPr="00CD5ECD" w:rsidRDefault="00F27E9F" w:rsidP="00A90836">
            <w:pPr>
              <w:rPr>
                <w:rFonts w:asciiTheme="minorHAnsi" w:hAnsiTheme="minorHAnsi"/>
                <w:b w:val="0"/>
              </w:rPr>
            </w:pPr>
            <w:r>
              <w:rPr>
                <w:rFonts w:asciiTheme="minorHAnsi" w:hAnsiTheme="minorHAnsi"/>
                <w:b w:val="0"/>
              </w:rPr>
              <w:t>Legal and policy frameworks</w:t>
            </w:r>
          </w:p>
        </w:tc>
        <w:tc>
          <w:tcPr>
            <w:tcW w:w="4050" w:type="dxa"/>
          </w:tcPr>
          <w:p w:rsidR="00F27E9F" w:rsidRDefault="00F27E9F" w:rsidP="00F27E9F">
            <w:pPr>
              <w:pStyle w:val="ListParagraph"/>
              <w:numPr>
                <w:ilvl w:val="0"/>
                <w:numId w:val="3"/>
              </w:numPr>
              <w:ind w:left="137" w:hanging="137"/>
              <w:cnfStyle w:val="000000100000" w:firstRow="0" w:lastRow="0" w:firstColumn="0" w:lastColumn="0" w:oddVBand="0" w:evenVBand="0" w:oddHBand="1" w:evenHBand="0" w:firstRowFirstColumn="0" w:firstRowLastColumn="0" w:lastRowFirstColumn="0" w:lastRowLastColumn="0"/>
            </w:pPr>
            <w:r>
              <w:t>Achievement of the targets as set out by international conservation conventions and agreements.</w:t>
            </w:r>
          </w:p>
          <w:p w:rsidR="00F27E9F" w:rsidRDefault="00F27E9F" w:rsidP="00F27E9F">
            <w:pPr>
              <w:pStyle w:val="ListParagraph"/>
              <w:numPr>
                <w:ilvl w:val="0"/>
                <w:numId w:val="3"/>
              </w:numPr>
              <w:ind w:left="137" w:hanging="137"/>
              <w:cnfStyle w:val="000000100000" w:firstRow="0" w:lastRow="0" w:firstColumn="0" w:lastColumn="0" w:oddVBand="0" w:evenVBand="0" w:oddHBand="1" w:evenHBand="0" w:firstRowFirstColumn="0" w:firstRowLastColumn="0" w:lastRowFirstColumn="0" w:lastRowLastColumn="0"/>
            </w:pPr>
            <w:r>
              <w:t>Achievement of conservation aims and objectives common to participating countries.</w:t>
            </w:r>
          </w:p>
          <w:p w:rsidR="00F27E9F" w:rsidRDefault="00F27E9F" w:rsidP="00F27E9F">
            <w:pPr>
              <w:pStyle w:val="ListParagraph"/>
              <w:numPr>
                <w:ilvl w:val="0"/>
                <w:numId w:val="3"/>
              </w:numPr>
              <w:ind w:left="137" w:hanging="137"/>
              <w:cnfStyle w:val="000000100000" w:firstRow="0" w:lastRow="0" w:firstColumn="0" w:lastColumn="0" w:oddVBand="0" w:evenVBand="0" w:oddHBand="1" w:evenHBand="0" w:firstRowFirstColumn="0" w:firstRowLastColumn="0" w:lastRowFirstColumn="0" w:lastRowLastColumn="0"/>
            </w:pPr>
            <w:r>
              <w:t>Enhanced understanding of the legal and policy environment to support implementation.</w:t>
            </w:r>
          </w:p>
        </w:tc>
        <w:tc>
          <w:tcPr>
            <w:tcW w:w="4111" w:type="dxa"/>
          </w:tcPr>
          <w:p w:rsidR="00F27E9F" w:rsidRDefault="00F27E9F" w:rsidP="00F27E9F">
            <w:pPr>
              <w:pStyle w:val="ListParagraph"/>
              <w:numPr>
                <w:ilvl w:val="0"/>
                <w:numId w:val="3"/>
              </w:numPr>
              <w:ind w:left="106" w:hanging="106"/>
              <w:cnfStyle w:val="000000100000" w:firstRow="0" w:lastRow="0" w:firstColumn="0" w:lastColumn="0" w:oddVBand="0" w:evenVBand="0" w:oddHBand="1" w:evenHBand="0" w:firstRowFirstColumn="0" w:firstRowLastColumn="0" w:lastRowFirstColumn="0" w:lastRowLastColumn="0"/>
            </w:pPr>
          </w:p>
        </w:tc>
        <w:tc>
          <w:tcPr>
            <w:tcW w:w="4110" w:type="dxa"/>
          </w:tcPr>
          <w:p w:rsidR="00F27E9F" w:rsidRDefault="00F27E9F" w:rsidP="00F27E9F">
            <w:pPr>
              <w:pStyle w:val="ListParagraph"/>
              <w:numPr>
                <w:ilvl w:val="0"/>
                <w:numId w:val="3"/>
              </w:numPr>
              <w:ind w:left="147" w:hanging="147"/>
              <w:cnfStyle w:val="000000100000" w:firstRow="0" w:lastRow="0" w:firstColumn="0" w:lastColumn="0" w:oddVBand="0" w:evenVBand="0" w:oddHBand="1" w:evenHBand="0" w:firstRowFirstColumn="0" w:firstRowLastColumn="0" w:lastRowFirstColumn="0" w:lastRowLastColumn="0"/>
            </w:pPr>
          </w:p>
        </w:tc>
      </w:tr>
      <w:tr w:rsidR="00F27E9F" w:rsidTr="00A908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tcPr>
          <w:p w:rsidR="00F27E9F" w:rsidRPr="00CD5ECD" w:rsidRDefault="00F27E9F" w:rsidP="00A90836">
            <w:pPr>
              <w:rPr>
                <w:rFonts w:asciiTheme="minorHAnsi" w:hAnsiTheme="minorHAnsi"/>
                <w:b w:val="0"/>
              </w:rPr>
            </w:pPr>
            <w:r w:rsidRPr="00CD5ECD">
              <w:rPr>
                <w:rFonts w:asciiTheme="minorHAnsi" w:hAnsiTheme="minorHAnsi"/>
                <w:b w:val="0"/>
              </w:rPr>
              <w:t xml:space="preserve">Ecosystem </w:t>
            </w:r>
            <w:r>
              <w:rPr>
                <w:rFonts w:asciiTheme="minorHAnsi" w:hAnsiTheme="minorHAnsi"/>
                <w:b w:val="0"/>
              </w:rPr>
              <w:t>management and climate change responses</w:t>
            </w:r>
          </w:p>
        </w:tc>
        <w:tc>
          <w:tcPr>
            <w:tcW w:w="4050" w:type="dxa"/>
          </w:tcPr>
          <w:p w:rsidR="00F27E9F" w:rsidRDefault="00F27E9F" w:rsidP="00F27E9F">
            <w:pPr>
              <w:pStyle w:val="ListParagraph"/>
              <w:numPr>
                <w:ilvl w:val="0"/>
                <w:numId w:val="4"/>
              </w:numPr>
              <w:ind w:left="176" w:hanging="176"/>
              <w:cnfStyle w:val="000000010000" w:firstRow="0" w:lastRow="0" w:firstColumn="0" w:lastColumn="0" w:oddVBand="0" w:evenVBand="0" w:oddHBand="0" w:evenHBand="1" w:firstRowFirstColumn="0" w:firstRowLastColumn="0" w:lastRowFirstColumn="0" w:lastRowLastColumn="0"/>
            </w:pPr>
            <w:r>
              <w:t>Increased potential for ecosystem-based management approach to be accommodated.</w:t>
            </w:r>
          </w:p>
          <w:p w:rsidR="00F27E9F" w:rsidRDefault="00F27E9F" w:rsidP="00F27E9F">
            <w:pPr>
              <w:pStyle w:val="ListParagraph"/>
              <w:numPr>
                <w:ilvl w:val="0"/>
                <w:numId w:val="4"/>
              </w:numPr>
              <w:ind w:left="176" w:hanging="176"/>
              <w:cnfStyle w:val="000000010000" w:firstRow="0" w:lastRow="0" w:firstColumn="0" w:lastColumn="0" w:oddVBand="0" w:evenVBand="0" w:oddHBand="0" w:evenHBand="1" w:firstRowFirstColumn="0" w:firstRowLastColumn="0" w:lastRowFirstColumn="0" w:lastRowLastColumn="0"/>
            </w:pPr>
            <w:r>
              <w:t>Enhanced ecosystem functionality through the improved ability to accommodate ecosystem processes and reduce the requirements for the simulation of these through management actions.</w:t>
            </w:r>
          </w:p>
          <w:p w:rsidR="00F27E9F" w:rsidRDefault="00F27E9F" w:rsidP="00F27E9F">
            <w:pPr>
              <w:pStyle w:val="ListParagraph"/>
              <w:numPr>
                <w:ilvl w:val="0"/>
                <w:numId w:val="4"/>
              </w:numPr>
              <w:ind w:left="176" w:hanging="176"/>
              <w:cnfStyle w:val="000000010000" w:firstRow="0" w:lastRow="0" w:firstColumn="0" w:lastColumn="0" w:oddVBand="0" w:evenVBand="0" w:oddHBand="0" w:evenHBand="1" w:firstRowFirstColumn="0" w:firstRowLastColumn="0" w:lastRowFirstColumn="0" w:lastRowLastColumn="0"/>
            </w:pPr>
            <w:r>
              <w:t>Increased resilience to external threats such as invasive alien species, pollution, animal diseases, etc.</w:t>
            </w:r>
          </w:p>
          <w:p w:rsidR="00F27E9F" w:rsidRDefault="00F27E9F" w:rsidP="00F27E9F">
            <w:pPr>
              <w:pStyle w:val="ListParagraph"/>
              <w:numPr>
                <w:ilvl w:val="0"/>
                <w:numId w:val="4"/>
              </w:numPr>
              <w:ind w:left="176" w:hanging="176"/>
              <w:cnfStyle w:val="000000010000" w:firstRow="0" w:lastRow="0" w:firstColumn="0" w:lastColumn="0" w:oddVBand="0" w:evenVBand="0" w:oddHBand="0" w:evenHBand="1" w:firstRowFirstColumn="0" w:firstRowLastColumn="0" w:lastRowFirstColumn="0" w:lastRowLastColumn="0"/>
            </w:pPr>
            <w:r>
              <w:t>Enhanced capacity for the persistence of threatened and migratory species.</w:t>
            </w:r>
          </w:p>
          <w:p w:rsidR="00F27E9F" w:rsidRDefault="00F27E9F" w:rsidP="00F27E9F">
            <w:pPr>
              <w:pStyle w:val="ListParagraph"/>
              <w:numPr>
                <w:ilvl w:val="0"/>
                <w:numId w:val="4"/>
              </w:numPr>
              <w:ind w:left="176" w:hanging="176"/>
              <w:cnfStyle w:val="000000010000" w:firstRow="0" w:lastRow="0" w:firstColumn="0" w:lastColumn="0" w:oddVBand="0" w:evenVBand="0" w:oddHBand="0" w:evenHBand="1" w:firstRowFirstColumn="0" w:firstRowLastColumn="0" w:lastRowFirstColumn="0" w:lastRowLastColumn="0"/>
            </w:pPr>
            <w:r>
              <w:t>The ability to reintroduce species that may require access to larger areas, such as top predators.</w:t>
            </w:r>
          </w:p>
          <w:p w:rsidR="00F27E9F" w:rsidRDefault="00F27E9F" w:rsidP="00F27E9F">
            <w:pPr>
              <w:pStyle w:val="ListParagraph"/>
              <w:numPr>
                <w:ilvl w:val="0"/>
                <w:numId w:val="4"/>
              </w:numPr>
              <w:ind w:left="176" w:hanging="176"/>
              <w:cnfStyle w:val="000000010000" w:firstRow="0" w:lastRow="0" w:firstColumn="0" w:lastColumn="0" w:oddVBand="0" w:evenVBand="0" w:oddHBand="0" w:evenHBand="1" w:firstRowFirstColumn="0" w:firstRowLastColumn="0" w:lastRowFirstColumn="0" w:lastRowLastColumn="0"/>
            </w:pPr>
            <w:r>
              <w:t>Decreased pressures associated with animal population management.</w:t>
            </w:r>
          </w:p>
          <w:p w:rsidR="00F27E9F" w:rsidRDefault="00F27E9F" w:rsidP="00F27E9F">
            <w:pPr>
              <w:pStyle w:val="ListParagraph"/>
              <w:numPr>
                <w:ilvl w:val="0"/>
                <w:numId w:val="4"/>
              </w:numPr>
              <w:ind w:left="176" w:hanging="176"/>
              <w:cnfStyle w:val="000000010000" w:firstRow="0" w:lastRow="0" w:firstColumn="0" w:lastColumn="0" w:oddVBand="0" w:evenVBand="0" w:oddHBand="0" w:evenHBand="1" w:firstRowFirstColumn="0" w:firstRowLastColumn="0" w:lastRowFirstColumn="0" w:lastRowLastColumn="0"/>
            </w:pPr>
            <w:r>
              <w:t xml:space="preserve">Increased capacity to accommodate the consequences of climate change impacts </w:t>
            </w:r>
            <w:r>
              <w:lastRenderedPageBreak/>
              <w:t>and to allow for ecological adaptation and habitat and species movements/migrations.</w:t>
            </w:r>
          </w:p>
        </w:tc>
        <w:tc>
          <w:tcPr>
            <w:tcW w:w="4111" w:type="dxa"/>
          </w:tcPr>
          <w:p w:rsidR="00F27E9F" w:rsidRDefault="00F27E9F" w:rsidP="00F27E9F">
            <w:pPr>
              <w:pStyle w:val="ListParagraph"/>
              <w:numPr>
                <w:ilvl w:val="0"/>
                <w:numId w:val="4"/>
              </w:numPr>
              <w:ind w:left="175" w:hanging="175"/>
              <w:cnfStyle w:val="000000010000" w:firstRow="0" w:lastRow="0" w:firstColumn="0" w:lastColumn="0" w:oddVBand="0" w:evenVBand="0" w:oddHBand="0" w:evenHBand="1" w:firstRowFirstColumn="0" w:firstRowLastColumn="0" w:lastRowFirstColumn="0" w:lastRowLastColumn="0"/>
            </w:pPr>
          </w:p>
        </w:tc>
        <w:tc>
          <w:tcPr>
            <w:tcW w:w="4110" w:type="dxa"/>
          </w:tcPr>
          <w:p w:rsidR="00F27E9F" w:rsidRDefault="00F27E9F" w:rsidP="00F27E9F">
            <w:pPr>
              <w:pStyle w:val="ListParagraph"/>
              <w:numPr>
                <w:ilvl w:val="0"/>
                <w:numId w:val="4"/>
              </w:numPr>
              <w:ind w:left="175" w:hanging="175"/>
              <w:cnfStyle w:val="000000010000" w:firstRow="0" w:lastRow="0" w:firstColumn="0" w:lastColumn="0" w:oddVBand="0" w:evenVBand="0" w:oddHBand="0" w:evenHBand="1" w:firstRowFirstColumn="0" w:firstRowLastColumn="0" w:lastRowFirstColumn="0" w:lastRowLastColumn="0"/>
            </w:pPr>
          </w:p>
        </w:tc>
      </w:tr>
      <w:tr w:rsidR="00F27E9F" w:rsidTr="00A90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tcPr>
          <w:p w:rsidR="00F27E9F" w:rsidRPr="00CD5ECD" w:rsidRDefault="00F27E9F" w:rsidP="00A90836">
            <w:pPr>
              <w:rPr>
                <w:rFonts w:asciiTheme="minorHAnsi" w:hAnsiTheme="minorHAnsi"/>
                <w:b w:val="0"/>
              </w:rPr>
            </w:pPr>
            <w:r>
              <w:rPr>
                <w:rFonts w:asciiTheme="minorHAnsi" w:hAnsiTheme="minorHAnsi"/>
                <w:b w:val="0"/>
              </w:rPr>
              <w:lastRenderedPageBreak/>
              <w:t>Socio-economics</w:t>
            </w:r>
          </w:p>
        </w:tc>
        <w:tc>
          <w:tcPr>
            <w:tcW w:w="4050" w:type="dxa"/>
          </w:tcPr>
          <w:p w:rsidR="00F27E9F" w:rsidRDefault="00F27E9F" w:rsidP="00F27E9F">
            <w:pPr>
              <w:pStyle w:val="ListParagraph"/>
              <w:numPr>
                <w:ilvl w:val="0"/>
                <w:numId w:val="5"/>
              </w:numPr>
              <w:ind w:left="115" w:hanging="115"/>
              <w:cnfStyle w:val="000000100000" w:firstRow="0" w:lastRow="0" w:firstColumn="0" w:lastColumn="0" w:oddVBand="0" w:evenVBand="0" w:oddHBand="1" w:evenHBand="0" w:firstRowFirstColumn="0" w:firstRowLastColumn="0" w:lastRowFirstColumn="0" w:lastRowLastColumn="0"/>
            </w:pPr>
            <w:r>
              <w:t>Enhanced ecosystem functionality increases capacity to produce and deliver a full suite of ecosystem goods and services which contribute to social well-being and economic resilience within, adjacent to and beyond the boundaries of the transboundary conservation area.</w:t>
            </w:r>
          </w:p>
          <w:p w:rsidR="00F27E9F" w:rsidRDefault="00F27E9F" w:rsidP="00F27E9F">
            <w:pPr>
              <w:pStyle w:val="ListParagraph"/>
              <w:numPr>
                <w:ilvl w:val="0"/>
                <w:numId w:val="5"/>
              </w:numPr>
              <w:ind w:left="115" w:hanging="115"/>
              <w:cnfStyle w:val="000000100000" w:firstRow="0" w:lastRow="0" w:firstColumn="0" w:lastColumn="0" w:oddVBand="0" w:evenVBand="0" w:oddHBand="1" w:evenHBand="0" w:firstRowFirstColumn="0" w:firstRowLastColumn="0" w:lastRowFirstColumn="0" w:lastRowLastColumn="0"/>
            </w:pPr>
            <w:r>
              <w:t>Thresholds of sustainable utilisation may increase or become more robust as ecosystem functionality and species population dynamics improve.</w:t>
            </w:r>
          </w:p>
          <w:p w:rsidR="00F27E9F" w:rsidRDefault="00F27E9F" w:rsidP="00F27E9F">
            <w:pPr>
              <w:pStyle w:val="ListParagraph"/>
              <w:numPr>
                <w:ilvl w:val="0"/>
                <w:numId w:val="5"/>
              </w:numPr>
              <w:ind w:left="115" w:hanging="115"/>
              <w:cnfStyle w:val="000000100000" w:firstRow="0" w:lastRow="0" w:firstColumn="0" w:lastColumn="0" w:oddVBand="0" w:evenVBand="0" w:oddHBand="1" w:evenHBand="0" w:firstRowFirstColumn="0" w:firstRowLastColumn="0" w:lastRowFirstColumn="0" w:lastRowLastColumn="0"/>
            </w:pPr>
            <w:r>
              <w:t>Enhanced movement of people across international boundaries opens up and/or increases trading opportunities.</w:t>
            </w:r>
          </w:p>
          <w:p w:rsidR="00F27E9F" w:rsidRDefault="00F27E9F" w:rsidP="00F27E9F">
            <w:pPr>
              <w:pStyle w:val="ListParagraph"/>
              <w:numPr>
                <w:ilvl w:val="0"/>
                <w:numId w:val="5"/>
              </w:numPr>
              <w:ind w:left="115" w:hanging="115"/>
              <w:cnfStyle w:val="000000100000" w:firstRow="0" w:lastRow="0" w:firstColumn="0" w:lastColumn="0" w:oddVBand="0" w:evenVBand="0" w:oddHBand="1" w:evenHBand="0" w:firstRowFirstColumn="0" w:firstRowLastColumn="0" w:lastRowFirstColumn="0" w:lastRowLastColumn="0"/>
            </w:pPr>
            <w:r>
              <w:t>The opening of borders or the relaxing of border control processes allows for increased tourism opportunities.</w:t>
            </w:r>
          </w:p>
        </w:tc>
        <w:tc>
          <w:tcPr>
            <w:tcW w:w="4111" w:type="dxa"/>
          </w:tcPr>
          <w:p w:rsidR="00F27E9F" w:rsidRDefault="00F27E9F" w:rsidP="00F27E9F">
            <w:pPr>
              <w:pStyle w:val="ListParagraph"/>
              <w:numPr>
                <w:ilvl w:val="0"/>
                <w:numId w:val="5"/>
              </w:numPr>
              <w:ind w:left="175" w:hanging="175"/>
              <w:cnfStyle w:val="000000100000" w:firstRow="0" w:lastRow="0" w:firstColumn="0" w:lastColumn="0" w:oddVBand="0" w:evenVBand="0" w:oddHBand="1" w:evenHBand="0" w:firstRowFirstColumn="0" w:firstRowLastColumn="0" w:lastRowFirstColumn="0" w:lastRowLastColumn="0"/>
            </w:pPr>
          </w:p>
        </w:tc>
        <w:tc>
          <w:tcPr>
            <w:tcW w:w="4110" w:type="dxa"/>
          </w:tcPr>
          <w:p w:rsidR="00F27E9F" w:rsidRDefault="00F27E9F" w:rsidP="00F27E9F">
            <w:pPr>
              <w:pStyle w:val="ListParagraph"/>
              <w:numPr>
                <w:ilvl w:val="0"/>
                <w:numId w:val="5"/>
              </w:numPr>
              <w:ind w:left="175" w:hanging="175"/>
              <w:cnfStyle w:val="000000100000" w:firstRow="0" w:lastRow="0" w:firstColumn="0" w:lastColumn="0" w:oddVBand="0" w:evenVBand="0" w:oddHBand="1" w:evenHBand="0" w:firstRowFirstColumn="0" w:firstRowLastColumn="0" w:lastRowFirstColumn="0" w:lastRowLastColumn="0"/>
            </w:pPr>
          </w:p>
        </w:tc>
      </w:tr>
      <w:tr w:rsidR="00F27E9F" w:rsidTr="00A908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tcPr>
          <w:p w:rsidR="00F27E9F" w:rsidRPr="00CD5ECD" w:rsidRDefault="00F27E9F" w:rsidP="00A90836">
            <w:pPr>
              <w:rPr>
                <w:rFonts w:asciiTheme="minorHAnsi" w:hAnsiTheme="minorHAnsi"/>
                <w:b w:val="0"/>
              </w:rPr>
            </w:pPr>
            <w:r w:rsidRPr="00CD5ECD">
              <w:rPr>
                <w:rFonts w:asciiTheme="minorHAnsi" w:hAnsiTheme="minorHAnsi"/>
                <w:b w:val="0"/>
              </w:rPr>
              <w:t xml:space="preserve">Cultural </w:t>
            </w:r>
            <w:r>
              <w:rPr>
                <w:rFonts w:asciiTheme="minorHAnsi" w:hAnsiTheme="minorHAnsi"/>
                <w:b w:val="0"/>
              </w:rPr>
              <w:t>l</w:t>
            </w:r>
            <w:r w:rsidRPr="00CD5ECD">
              <w:rPr>
                <w:rFonts w:asciiTheme="minorHAnsi" w:hAnsiTheme="minorHAnsi"/>
                <w:b w:val="0"/>
              </w:rPr>
              <w:t>inkages</w:t>
            </w:r>
          </w:p>
        </w:tc>
        <w:tc>
          <w:tcPr>
            <w:tcW w:w="4050" w:type="dxa"/>
          </w:tcPr>
          <w:p w:rsidR="00F27E9F" w:rsidRDefault="00F27E9F" w:rsidP="00F27E9F">
            <w:pPr>
              <w:pStyle w:val="ListParagraph"/>
              <w:numPr>
                <w:ilvl w:val="0"/>
                <w:numId w:val="6"/>
              </w:numPr>
              <w:ind w:left="115" w:hanging="115"/>
              <w:cnfStyle w:val="000000010000" w:firstRow="0" w:lastRow="0" w:firstColumn="0" w:lastColumn="0" w:oddVBand="0" w:evenVBand="0" w:oddHBand="0" w:evenHBand="1" w:firstRowFirstColumn="0" w:firstRowLastColumn="0" w:lastRowFirstColumn="0" w:lastRowLastColumn="0"/>
            </w:pPr>
            <w:r>
              <w:t>The reinstatement of both past and living cultural linkages:</w:t>
            </w:r>
          </w:p>
          <w:p w:rsidR="00F27E9F" w:rsidRDefault="00F27E9F" w:rsidP="00F27E9F">
            <w:pPr>
              <w:pStyle w:val="ListParagraph"/>
              <w:numPr>
                <w:ilvl w:val="1"/>
                <w:numId w:val="6"/>
              </w:numPr>
              <w:ind w:left="398" w:hanging="245"/>
              <w:cnfStyle w:val="000000010000" w:firstRow="0" w:lastRow="0" w:firstColumn="0" w:lastColumn="0" w:oddVBand="0" w:evenVBand="0" w:oddHBand="0" w:evenHBand="1" w:firstRowFirstColumn="0" w:firstRowLastColumn="0" w:lastRowFirstColumn="0" w:lastRowLastColumn="0"/>
            </w:pPr>
            <w:r>
              <w:t>may enhance the social acceptance of a transboundary conservation initiative, while</w:t>
            </w:r>
          </w:p>
          <w:p w:rsidR="00F27E9F" w:rsidRDefault="00F27E9F" w:rsidP="00F27E9F">
            <w:pPr>
              <w:pStyle w:val="ListParagraph"/>
              <w:numPr>
                <w:ilvl w:val="1"/>
                <w:numId w:val="6"/>
              </w:numPr>
              <w:ind w:left="398" w:hanging="245"/>
              <w:cnfStyle w:val="000000010000" w:firstRow="0" w:lastRow="0" w:firstColumn="0" w:lastColumn="0" w:oddVBand="0" w:evenVBand="0" w:oddHBand="0" w:evenHBand="1" w:firstRowFirstColumn="0" w:firstRowLastColumn="0" w:lastRowFirstColumn="0" w:lastRowLastColumn="0"/>
            </w:pPr>
            <w:proofErr w:type="gramStart"/>
            <w:r>
              <w:t>enhancing</w:t>
            </w:r>
            <w:proofErr w:type="gramEnd"/>
            <w:r>
              <w:t xml:space="preserve"> social linkages with nature through the cultural significance of natural features.</w:t>
            </w:r>
          </w:p>
          <w:p w:rsidR="00F27E9F" w:rsidRDefault="00F27E9F" w:rsidP="00F27E9F">
            <w:pPr>
              <w:pStyle w:val="ListParagraph"/>
              <w:numPr>
                <w:ilvl w:val="0"/>
                <w:numId w:val="6"/>
              </w:numPr>
              <w:ind w:left="115" w:hanging="115"/>
              <w:cnfStyle w:val="000000010000" w:firstRow="0" w:lastRow="0" w:firstColumn="0" w:lastColumn="0" w:oddVBand="0" w:evenVBand="0" w:oddHBand="0" w:evenHBand="1" w:firstRowFirstColumn="0" w:firstRowLastColumn="0" w:lastRowFirstColumn="0" w:lastRowLastColumn="0"/>
            </w:pPr>
            <w:r>
              <w:t xml:space="preserve">Work towards reducing socio-political tension through improved social </w:t>
            </w:r>
            <w:r>
              <w:lastRenderedPageBreak/>
              <w:t>cohesion.</w:t>
            </w:r>
          </w:p>
          <w:p w:rsidR="00F27E9F" w:rsidRDefault="00F27E9F" w:rsidP="00F27E9F">
            <w:pPr>
              <w:pStyle w:val="ListParagraph"/>
              <w:numPr>
                <w:ilvl w:val="0"/>
                <w:numId w:val="6"/>
              </w:numPr>
              <w:ind w:left="115" w:hanging="115"/>
              <w:cnfStyle w:val="000000010000" w:firstRow="0" w:lastRow="0" w:firstColumn="0" w:lastColumn="0" w:oddVBand="0" w:evenVBand="0" w:oddHBand="0" w:evenHBand="1" w:firstRowFirstColumn="0" w:firstRowLastColumn="0" w:lastRowFirstColumn="0" w:lastRowLastColumn="0"/>
            </w:pPr>
            <w:r>
              <w:t>Allow for prominent cultural features to contribute to enhancing the feasibility of the area as a tourism destination.</w:t>
            </w:r>
          </w:p>
          <w:p w:rsidR="00F27E9F" w:rsidRDefault="00F27E9F" w:rsidP="00F27E9F">
            <w:pPr>
              <w:pStyle w:val="ListParagraph"/>
              <w:numPr>
                <w:ilvl w:val="0"/>
                <w:numId w:val="6"/>
              </w:numPr>
              <w:ind w:left="115" w:hanging="115"/>
              <w:cnfStyle w:val="000000010000" w:firstRow="0" w:lastRow="0" w:firstColumn="0" w:lastColumn="0" w:oddVBand="0" w:evenVBand="0" w:oddHBand="0" w:evenHBand="1" w:firstRowFirstColumn="0" w:firstRowLastColumn="0" w:lastRowFirstColumn="0" w:lastRowLastColumn="0"/>
            </w:pPr>
            <w:r>
              <w:t>Enhanced ability to develop and promote a regional identity.</w:t>
            </w:r>
          </w:p>
        </w:tc>
        <w:tc>
          <w:tcPr>
            <w:tcW w:w="4111" w:type="dxa"/>
          </w:tcPr>
          <w:p w:rsidR="00F27E9F" w:rsidRDefault="00F27E9F" w:rsidP="00F27E9F">
            <w:pPr>
              <w:pStyle w:val="ListParagraph"/>
              <w:numPr>
                <w:ilvl w:val="0"/>
                <w:numId w:val="6"/>
              </w:numPr>
              <w:ind w:left="175" w:hanging="175"/>
              <w:cnfStyle w:val="000000010000" w:firstRow="0" w:lastRow="0" w:firstColumn="0" w:lastColumn="0" w:oddVBand="0" w:evenVBand="0" w:oddHBand="0" w:evenHBand="1" w:firstRowFirstColumn="0" w:firstRowLastColumn="0" w:lastRowFirstColumn="0" w:lastRowLastColumn="0"/>
            </w:pPr>
          </w:p>
        </w:tc>
        <w:tc>
          <w:tcPr>
            <w:tcW w:w="4110" w:type="dxa"/>
          </w:tcPr>
          <w:p w:rsidR="00F27E9F" w:rsidRDefault="00F27E9F" w:rsidP="00F27E9F">
            <w:pPr>
              <w:pStyle w:val="ListParagraph"/>
              <w:numPr>
                <w:ilvl w:val="0"/>
                <w:numId w:val="6"/>
              </w:numPr>
              <w:ind w:left="175" w:hanging="175"/>
              <w:cnfStyle w:val="000000010000" w:firstRow="0" w:lastRow="0" w:firstColumn="0" w:lastColumn="0" w:oddVBand="0" w:evenVBand="0" w:oddHBand="0" w:evenHBand="1" w:firstRowFirstColumn="0" w:firstRowLastColumn="0" w:lastRowFirstColumn="0" w:lastRowLastColumn="0"/>
            </w:pPr>
          </w:p>
        </w:tc>
      </w:tr>
      <w:tr w:rsidR="00F27E9F" w:rsidTr="00A90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tcPr>
          <w:p w:rsidR="00F27E9F" w:rsidRPr="00CD5ECD" w:rsidRDefault="00F27E9F" w:rsidP="00A90836">
            <w:pPr>
              <w:rPr>
                <w:rFonts w:asciiTheme="minorHAnsi" w:hAnsiTheme="minorHAnsi"/>
                <w:b w:val="0"/>
              </w:rPr>
            </w:pPr>
            <w:r>
              <w:rPr>
                <w:rFonts w:asciiTheme="minorHAnsi" w:hAnsiTheme="minorHAnsi"/>
                <w:b w:val="0"/>
              </w:rPr>
              <w:lastRenderedPageBreak/>
              <w:t>Regional integration</w:t>
            </w:r>
          </w:p>
        </w:tc>
        <w:tc>
          <w:tcPr>
            <w:tcW w:w="4050" w:type="dxa"/>
          </w:tcPr>
          <w:p w:rsidR="00F27E9F" w:rsidRDefault="00F27E9F" w:rsidP="00F27E9F">
            <w:pPr>
              <w:pStyle w:val="ListParagraph"/>
              <w:numPr>
                <w:ilvl w:val="0"/>
                <w:numId w:val="7"/>
              </w:numPr>
              <w:ind w:left="115" w:hanging="115"/>
              <w:cnfStyle w:val="000000100000" w:firstRow="0" w:lastRow="0" w:firstColumn="0" w:lastColumn="0" w:oddVBand="0" w:evenVBand="0" w:oddHBand="1" w:evenHBand="0" w:firstRowFirstColumn="0" w:firstRowLastColumn="0" w:lastRowFirstColumn="0" w:lastRowLastColumn="0"/>
            </w:pPr>
            <w:r>
              <w:t>The promotion and maintenance of peace and harmony.</w:t>
            </w:r>
          </w:p>
          <w:p w:rsidR="00F27E9F" w:rsidRDefault="00F27E9F" w:rsidP="00F27E9F">
            <w:pPr>
              <w:pStyle w:val="ListParagraph"/>
              <w:numPr>
                <w:ilvl w:val="0"/>
                <w:numId w:val="7"/>
              </w:numPr>
              <w:ind w:left="115" w:hanging="115"/>
              <w:cnfStyle w:val="000000100000" w:firstRow="0" w:lastRow="0" w:firstColumn="0" w:lastColumn="0" w:oddVBand="0" w:evenVBand="0" w:oddHBand="1" w:evenHBand="0" w:firstRowFirstColumn="0" w:firstRowLastColumn="0" w:lastRowFirstColumn="0" w:lastRowLastColumn="0"/>
            </w:pPr>
            <w:r>
              <w:t>The establishment of synergies between growth and development strategies, particularly as far as the role that transboundary conservation can play.</w:t>
            </w:r>
          </w:p>
          <w:p w:rsidR="00F27E9F" w:rsidRDefault="00F27E9F" w:rsidP="00F27E9F">
            <w:pPr>
              <w:pStyle w:val="ListParagraph"/>
              <w:numPr>
                <w:ilvl w:val="0"/>
                <w:numId w:val="7"/>
              </w:numPr>
              <w:ind w:left="115" w:hanging="115"/>
              <w:cnfStyle w:val="000000100000" w:firstRow="0" w:lastRow="0" w:firstColumn="0" w:lastColumn="0" w:oddVBand="0" w:evenVBand="0" w:oddHBand="1" w:evenHBand="0" w:firstRowFirstColumn="0" w:firstRowLastColumn="0" w:lastRowFirstColumn="0" w:lastRowLastColumn="0"/>
            </w:pPr>
            <w:r>
              <w:t>The creation of a common brand/identity/logo to enhance the marketing of and trade in related goods and services, such as tourism opportunities.</w:t>
            </w:r>
          </w:p>
          <w:p w:rsidR="00F27E9F" w:rsidRDefault="00F27E9F" w:rsidP="00F27E9F">
            <w:pPr>
              <w:pStyle w:val="ListParagraph"/>
              <w:numPr>
                <w:ilvl w:val="0"/>
                <w:numId w:val="7"/>
              </w:numPr>
              <w:ind w:left="115" w:hanging="115"/>
              <w:cnfStyle w:val="000000100000" w:firstRow="0" w:lastRow="0" w:firstColumn="0" w:lastColumn="0" w:oddVBand="0" w:evenVBand="0" w:oddHBand="1" w:evenHBand="0" w:firstRowFirstColumn="0" w:firstRowLastColumn="0" w:lastRowFirstColumn="0" w:lastRowLastColumn="0"/>
            </w:pPr>
            <w:r>
              <w:t>Improved viability to attract funding either through direct investments or through donors.</w:t>
            </w:r>
          </w:p>
          <w:p w:rsidR="00F27E9F" w:rsidRDefault="00F27E9F" w:rsidP="00F27E9F">
            <w:pPr>
              <w:pStyle w:val="ListParagraph"/>
              <w:numPr>
                <w:ilvl w:val="0"/>
                <w:numId w:val="7"/>
              </w:numPr>
              <w:ind w:left="115" w:hanging="115"/>
              <w:cnfStyle w:val="000000100000" w:firstRow="0" w:lastRow="0" w:firstColumn="0" w:lastColumn="0" w:oddVBand="0" w:evenVBand="0" w:oddHBand="1" w:evenHBand="0" w:firstRowFirstColumn="0" w:firstRowLastColumn="0" w:lastRowFirstColumn="0" w:lastRowLastColumn="0"/>
            </w:pPr>
            <w:r>
              <w:t>The development of joint conservation management plans for both the natural and cultural heritage.</w:t>
            </w:r>
          </w:p>
          <w:p w:rsidR="00F27E9F" w:rsidRDefault="00F27E9F" w:rsidP="00F27E9F">
            <w:pPr>
              <w:pStyle w:val="ListParagraph"/>
              <w:numPr>
                <w:ilvl w:val="0"/>
                <w:numId w:val="7"/>
              </w:numPr>
              <w:ind w:left="115" w:hanging="115"/>
              <w:cnfStyle w:val="000000100000" w:firstRow="0" w:lastRow="0" w:firstColumn="0" w:lastColumn="0" w:oddVBand="0" w:evenVBand="0" w:oddHBand="1" w:evenHBand="0" w:firstRowFirstColumn="0" w:firstRowLastColumn="0" w:lastRowFirstColumn="0" w:lastRowLastColumn="0"/>
            </w:pPr>
            <w:r>
              <w:t>Synergised interpretation of responsibilities to and implementation of international conventions.</w:t>
            </w:r>
          </w:p>
        </w:tc>
        <w:tc>
          <w:tcPr>
            <w:tcW w:w="4111" w:type="dxa"/>
          </w:tcPr>
          <w:p w:rsidR="00F27E9F" w:rsidRDefault="00F27E9F" w:rsidP="00F27E9F">
            <w:pPr>
              <w:pStyle w:val="ListParagraph"/>
              <w:numPr>
                <w:ilvl w:val="0"/>
                <w:numId w:val="7"/>
              </w:numPr>
              <w:ind w:left="175" w:hanging="175"/>
              <w:cnfStyle w:val="000000100000" w:firstRow="0" w:lastRow="0" w:firstColumn="0" w:lastColumn="0" w:oddVBand="0" w:evenVBand="0" w:oddHBand="1" w:evenHBand="0" w:firstRowFirstColumn="0" w:firstRowLastColumn="0" w:lastRowFirstColumn="0" w:lastRowLastColumn="0"/>
            </w:pPr>
          </w:p>
        </w:tc>
        <w:tc>
          <w:tcPr>
            <w:tcW w:w="4110" w:type="dxa"/>
          </w:tcPr>
          <w:p w:rsidR="00F27E9F" w:rsidRDefault="00F27E9F" w:rsidP="00F27E9F">
            <w:pPr>
              <w:pStyle w:val="ListParagraph"/>
              <w:numPr>
                <w:ilvl w:val="0"/>
                <w:numId w:val="7"/>
              </w:numPr>
              <w:ind w:left="175" w:hanging="175"/>
              <w:cnfStyle w:val="000000100000" w:firstRow="0" w:lastRow="0" w:firstColumn="0" w:lastColumn="0" w:oddVBand="0" w:evenVBand="0" w:oddHBand="1" w:evenHBand="0" w:firstRowFirstColumn="0" w:firstRowLastColumn="0" w:lastRowFirstColumn="0" w:lastRowLastColumn="0"/>
            </w:pPr>
          </w:p>
        </w:tc>
      </w:tr>
      <w:tr w:rsidR="00F27E9F" w:rsidTr="00A908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tcPr>
          <w:p w:rsidR="00F27E9F" w:rsidRPr="00CD5ECD" w:rsidRDefault="00F27E9F" w:rsidP="00A90836">
            <w:pPr>
              <w:rPr>
                <w:rFonts w:asciiTheme="minorHAnsi" w:hAnsiTheme="minorHAnsi"/>
                <w:b w:val="0"/>
              </w:rPr>
            </w:pPr>
            <w:r w:rsidRPr="00CD5ECD">
              <w:rPr>
                <w:rFonts w:asciiTheme="minorHAnsi" w:hAnsiTheme="minorHAnsi"/>
                <w:b w:val="0"/>
              </w:rPr>
              <w:t xml:space="preserve">Day to </w:t>
            </w:r>
            <w:r>
              <w:rPr>
                <w:rFonts w:asciiTheme="minorHAnsi" w:hAnsiTheme="minorHAnsi"/>
                <w:b w:val="0"/>
              </w:rPr>
              <w:t>day management and l</w:t>
            </w:r>
            <w:r w:rsidRPr="00CD5ECD">
              <w:rPr>
                <w:rFonts w:asciiTheme="minorHAnsi" w:hAnsiTheme="minorHAnsi"/>
                <w:b w:val="0"/>
              </w:rPr>
              <w:t xml:space="preserve">aw </w:t>
            </w:r>
            <w:r>
              <w:rPr>
                <w:rFonts w:asciiTheme="minorHAnsi" w:hAnsiTheme="minorHAnsi"/>
                <w:b w:val="0"/>
              </w:rPr>
              <w:t>e</w:t>
            </w:r>
            <w:r w:rsidRPr="00CD5ECD">
              <w:rPr>
                <w:rFonts w:asciiTheme="minorHAnsi" w:hAnsiTheme="minorHAnsi"/>
                <w:b w:val="0"/>
              </w:rPr>
              <w:t>nforcement</w:t>
            </w:r>
          </w:p>
        </w:tc>
        <w:tc>
          <w:tcPr>
            <w:tcW w:w="4050" w:type="dxa"/>
          </w:tcPr>
          <w:p w:rsidR="00F27E9F" w:rsidRDefault="00F27E9F" w:rsidP="00F27E9F">
            <w:pPr>
              <w:pStyle w:val="ListParagraph"/>
              <w:numPr>
                <w:ilvl w:val="0"/>
                <w:numId w:val="8"/>
              </w:numPr>
              <w:ind w:left="115" w:hanging="115"/>
              <w:cnfStyle w:val="000000010000" w:firstRow="0" w:lastRow="0" w:firstColumn="0" w:lastColumn="0" w:oddVBand="0" w:evenVBand="0" w:oddHBand="0" w:evenHBand="1" w:firstRowFirstColumn="0" w:firstRowLastColumn="0" w:lastRowFirstColumn="0" w:lastRowLastColumn="0"/>
            </w:pPr>
            <w:r>
              <w:t>Management efficiencies may be enhanced through the pooling of resources, i.e. financial, human and equipment.</w:t>
            </w:r>
          </w:p>
          <w:p w:rsidR="00F27E9F" w:rsidRDefault="00F27E9F" w:rsidP="00F27E9F">
            <w:pPr>
              <w:pStyle w:val="ListParagraph"/>
              <w:numPr>
                <w:ilvl w:val="0"/>
                <w:numId w:val="8"/>
              </w:numPr>
              <w:ind w:left="115" w:hanging="115"/>
              <w:cnfStyle w:val="000000010000" w:firstRow="0" w:lastRow="0" w:firstColumn="0" w:lastColumn="0" w:oddVBand="0" w:evenVBand="0" w:oddHBand="0" w:evenHBand="1" w:firstRowFirstColumn="0" w:firstRowLastColumn="0" w:lastRowFirstColumn="0" w:lastRowLastColumn="0"/>
            </w:pPr>
            <w:r>
              <w:lastRenderedPageBreak/>
              <w:t>Improved communication linkages may enable more rapid responses to the management of crisis such as vegetation fires, pollution threats, poaching, etc.</w:t>
            </w:r>
          </w:p>
          <w:p w:rsidR="00F27E9F" w:rsidRDefault="00F27E9F" w:rsidP="00F27E9F">
            <w:pPr>
              <w:pStyle w:val="ListParagraph"/>
              <w:numPr>
                <w:ilvl w:val="0"/>
                <w:numId w:val="8"/>
              </w:numPr>
              <w:ind w:left="115" w:hanging="115"/>
              <w:cnfStyle w:val="000000010000" w:firstRow="0" w:lastRow="0" w:firstColumn="0" w:lastColumn="0" w:oddVBand="0" w:evenVBand="0" w:oddHBand="0" w:evenHBand="1" w:firstRowFirstColumn="0" w:firstRowLastColumn="0" w:lastRowFirstColumn="0" w:lastRowLastColumn="0"/>
            </w:pPr>
            <w:r>
              <w:t>Improved communication and surveillance may also allow for more pro-active responses to potential threats.</w:t>
            </w:r>
          </w:p>
          <w:p w:rsidR="00F27E9F" w:rsidRDefault="00F27E9F" w:rsidP="00F27E9F">
            <w:pPr>
              <w:pStyle w:val="ListParagraph"/>
              <w:numPr>
                <w:ilvl w:val="0"/>
                <w:numId w:val="8"/>
              </w:numPr>
              <w:ind w:left="115" w:hanging="115"/>
              <w:cnfStyle w:val="000000010000" w:firstRow="0" w:lastRow="0" w:firstColumn="0" w:lastColumn="0" w:oddVBand="0" w:evenVBand="0" w:oddHBand="0" w:evenHBand="1" w:firstRowFirstColumn="0" w:firstRowLastColumn="0" w:lastRowFirstColumn="0" w:lastRowLastColumn="0"/>
            </w:pPr>
            <w:r>
              <w:t>Shared capacity for managing visitor access and activities.</w:t>
            </w:r>
          </w:p>
          <w:p w:rsidR="00F27E9F" w:rsidRDefault="00F27E9F" w:rsidP="00F27E9F">
            <w:pPr>
              <w:pStyle w:val="ListParagraph"/>
              <w:numPr>
                <w:ilvl w:val="0"/>
                <w:numId w:val="8"/>
              </w:numPr>
              <w:ind w:left="115" w:hanging="115"/>
              <w:cnfStyle w:val="000000010000" w:firstRow="0" w:lastRow="0" w:firstColumn="0" w:lastColumn="0" w:oddVBand="0" w:evenVBand="0" w:oddHBand="0" w:evenHBand="1" w:firstRowFirstColumn="0" w:firstRowLastColumn="0" w:lastRowFirstColumn="0" w:lastRowLastColumn="0"/>
            </w:pPr>
            <w:r>
              <w:t>Joint patrols may contribute to enhanced law enforcement and search and rescue efforts.</w:t>
            </w:r>
          </w:p>
          <w:p w:rsidR="00F27E9F" w:rsidRDefault="00F27E9F" w:rsidP="00F27E9F">
            <w:pPr>
              <w:pStyle w:val="ListParagraph"/>
              <w:numPr>
                <w:ilvl w:val="0"/>
                <w:numId w:val="8"/>
              </w:numPr>
              <w:ind w:left="115" w:hanging="115"/>
              <w:cnfStyle w:val="000000010000" w:firstRow="0" w:lastRow="0" w:firstColumn="0" w:lastColumn="0" w:oddVBand="0" w:evenVBand="0" w:oddHBand="0" w:evenHBand="1" w:firstRowFirstColumn="0" w:firstRowLastColumn="0" w:lastRowFirstColumn="0" w:lastRowLastColumn="0"/>
            </w:pPr>
            <w:r>
              <w:t>Joint management actions can lead to improved staff morale and enhanced appreciation for the various differences that exist between the field staff of the participating countries.</w:t>
            </w:r>
          </w:p>
          <w:p w:rsidR="00F27E9F" w:rsidRDefault="00F27E9F" w:rsidP="00F27E9F">
            <w:pPr>
              <w:pStyle w:val="ListParagraph"/>
              <w:numPr>
                <w:ilvl w:val="0"/>
                <w:numId w:val="8"/>
              </w:numPr>
              <w:ind w:left="115" w:hanging="115"/>
              <w:cnfStyle w:val="000000010000" w:firstRow="0" w:lastRow="0" w:firstColumn="0" w:lastColumn="0" w:oddVBand="0" w:evenVBand="0" w:oddHBand="0" w:evenHBand="1" w:firstRowFirstColumn="0" w:firstRowLastColumn="0" w:lastRowFirstColumn="0" w:lastRowLastColumn="0"/>
            </w:pPr>
            <w:r>
              <w:t>Increased capacity to procure and deploy expensive equipment such as aircraft.</w:t>
            </w:r>
          </w:p>
        </w:tc>
        <w:tc>
          <w:tcPr>
            <w:tcW w:w="4111" w:type="dxa"/>
          </w:tcPr>
          <w:p w:rsidR="00F27E9F" w:rsidRDefault="00F27E9F" w:rsidP="00F27E9F">
            <w:pPr>
              <w:pStyle w:val="ListParagraph"/>
              <w:numPr>
                <w:ilvl w:val="0"/>
                <w:numId w:val="8"/>
              </w:numPr>
              <w:ind w:left="175" w:hanging="175"/>
              <w:cnfStyle w:val="000000010000" w:firstRow="0" w:lastRow="0" w:firstColumn="0" w:lastColumn="0" w:oddVBand="0" w:evenVBand="0" w:oddHBand="0" w:evenHBand="1" w:firstRowFirstColumn="0" w:firstRowLastColumn="0" w:lastRowFirstColumn="0" w:lastRowLastColumn="0"/>
            </w:pPr>
          </w:p>
        </w:tc>
        <w:tc>
          <w:tcPr>
            <w:tcW w:w="4110" w:type="dxa"/>
          </w:tcPr>
          <w:p w:rsidR="00F27E9F" w:rsidRDefault="00F27E9F" w:rsidP="00F27E9F">
            <w:pPr>
              <w:pStyle w:val="ListParagraph"/>
              <w:numPr>
                <w:ilvl w:val="0"/>
                <w:numId w:val="8"/>
              </w:numPr>
              <w:ind w:left="175" w:hanging="175"/>
              <w:cnfStyle w:val="000000010000" w:firstRow="0" w:lastRow="0" w:firstColumn="0" w:lastColumn="0" w:oddVBand="0" w:evenVBand="0" w:oddHBand="0" w:evenHBand="1" w:firstRowFirstColumn="0" w:firstRowLastColumn="0" w:lastRowFirstColumn="0" w:lastRowLastColumn="0"/>
            </w:pPr>
          </w:p>
        </w:tc>
      </w:tr>
      <w:tr w:rsidR="00F27E9F" w:rsidTr="00A90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tcPr>
          <w:p w:rsidR="00F27E9F" w:rsidRPr="00CD5ECD" w:rsidRDefault="00F27E9F" w:rsidP="00A90836">
            <w:pPr>
              <w:rPr>
                <w:rFonts w:asciiTheme="minorHAnsi" w:hAnsiTheme="minorHAnsi"/>
                <w:b w:val="0"/>
              </w:rPr>
            </w:pPr>
            <w:r>
              <w:rPr>
                <w:rFonts w:asciiTheme="minorHAnsi" w:hAnsiTheme="minorHAnsi"/>
                <w:b w:val="0"/>
              </w:rPr>
              <w:lastRenderedPageBreak/>
              <w:t>R</w:t>
            </w:r>
            <w:r w:rsidRPr="00CD5ECD">
              <w:rPr>
                <w:rFonts w:asciiTheme="minorHAnsi" w:hAnsiTheme="minorHAnsi"/>
                <w:b w:val="0"/>
              </w:rPr>
              <w:t>esearch</w:t>
            </w:r>
          </w:p>
        </w:tc>
        <w:tc>
          <w:tcPr>
            <w:tcW w:w="4050" w:type="dxa"/>
          </w:tcPr>
          <w:p w:rsidR="00F27E9F" w:rsidRDefault="00F27E9F" w:rsidP="00F27E9F">
            <w:pPr>
              <w:pStyle w:val="ListParagraph"/>
              <w:numPr>
                <w:ilvl w:val="0"/>
                <w:numId w:val="9"/>
              </w:numPr>
              <w:ind w:left="115" w:hanging="115"/>
              <w:cnfStyle w:val="000000100000" w:firstRow="0" w:lastRow="0" w:firstColumn="0" w:lastColumn="0" w:oddVBand="0" w:evenVBand="0" w:oddHBand="1" w:evenHBand="0" w:firstRowFirstColumn="0" w:firstRowLastColumn="0" w:lastRowFirstColumn="0" w:lastRowLastColumn="0"/>
            </w:pPr>
            <w:r>
              <w:t>Improved access to expertise and enhanced ability to implement applied research and find solutions to common challenges.</w:t>
            </w:r>
          </w:p>
          <w:p w:rsidR="00F27E9F" w:rsidRDefault="00F27E9F" w:rsidP="00F27E9F">
            <w:pPr>
              <w:pStyle w:val="ListParagraph"/>
              <w:numPr>
                <w:ilvl w:val="0"/>
                <w:numId w:val="9"/>
              </w:numPr>
              <w:ind w:left="115" w:hanging="115"/>
              <w:cnfStyle w:val="000000100000" w:firstRow="0" w:lastRow="0" w:firstColumn="0" w:lastColumn="0" w:oddVBand="0" w:evenVBand="0" w:oddHBand="1" w:evenHBand="0" w:firstRowFirstColumn="0" w:firstRowLastColumn="0" w:lastRowFirstColumn="0" w:lastRowLastColumn="0"/>
            </w:pPr>
            <w:r>
              <w:t>Ensure that research methods are standardised to ensure comparable results.</w:t>
            </w:r>
          </w:p>
          <w:p w:rsidR="00F27E9F" w:rsidRDefault="00F27E9F" w:rsidP="00F27E9F">
            <w:pPr>
              <w:pStyle w:val="ListParagraph"/>
              <w:numPr>
                <w:ilvl w:val="0"/>
                <w:numId w:val="9"/>
              </w:numPr>
              <w:ind w:left="115" w:hanging="115"/>
              <w:cnfStyle w:val="000000100000" w:firstRow="0" w:lastRow="0" w:firstColumn="0" w:lastColumn="0" w:oddVBand="0" w:evenVBand="0" w:oddHBand="1" w:evenHBand="0" w:firstRowFirstColumn="0" w:firstRowLastColumn="0" w:lastRowFirstColumn="0" w:lastRowLastColumn="0"/>
            </w:pPr>
            <w:r>
              <w:t>Shared access to expensive research equipment, resource centres, herbariums, etc.</w:t>
            </w:r>
          </w:p>
          <w:p w:rsidR="00F27E9F" w:rsidRDefault="00F27E9F" w:rsidP="00F27E9F">
            <w:pPr>
              <w:pStyle w:val="ListParagraph"/>
              <w:numPr>
                <w:ilvl w:val="0"/>
                <w:numId w:val="9"/>
              </w:numPr>
              <w:ind w:left="115" w:hanging="115"/>
              <w:cnfStyle w:val="000000100000" w:firstRow="0" w:lastRow="0" w:firstColumn="0" w:lastColumn="0" w:oddVBand="0" w:evenVBand="0" w:oddHBand="1" w:evenHBand="0" w:firstRowFirstColumn="0" w:firstRowLastColumn="0" w:lastRowFirstColumn="0" w:lastRowLastColumn="0"/>
            </w:pPr>
            <w:r>
              <w:t>Joint design and implementation of long-</w:t>
            </w:r>
            <w:r>
              <w:lastRenderedPageBreak/>
              <w:t>term research projects.</w:t>
            </w:r>
          </w:p>
          <w:p w:rsidR="00F27E9F" w:rsidRDefault="00F27E9F" w:rsidP="00F27E9F">
            <w:pPr>
              <w:pStyle w:val="ListParagraph"/>
              <w:numPr>
                <w:ilvl w:val="0"/>
                <w:numId w:val="9"/>
              </w:numPr>
              <w:ind w:left="115" w:hanging="115"/>
              <w:cnfStyle w:val="000000100000" w:firstRow="0" w:lastRow="0" w:firstColumn="0" w:lastColumn="0" w:oddVBand="0" w:evenVBand="0" w:oddHBand="1" w:evenHBand="0" w:firstRowFirstColumn="0" w:firstRowLastColumn="0" w:lastRowFirstColumn="0" w:lastRowLastColumn="0"/>
            </w:pPr>
            <w:r>
              <w:t>Improved ability to ‘package’ research to secure financial support.</w:t>
            </w:r>
          </w:p>
          <w:p w:rsidR="00F27E9F" w:rsidRDefault="00F27E9F" w:rsidP="00F27E9F">
            <w:pPr>
              <w:pStyle w:val="ListParagraph"/>
              <w:numPr>
                <w:ilvl w:val="0"/>
                <w:numId w:val="9"/>
              </w:numPr>
              <w:ind w:left="115" w:hanging="115"/>
              <w:cnfStyle w:val="000000100000" w:firstRow="0" w:lastRow="0" w:firstColumn="0" w:lastColumn="0" w:oddVBand="0" w:evenVBand="0" w:oddHBand="1" w:evenHBand="0" w:firstRowFirstColumn="0" w:firstRowLastColumn="0" w:lastRowFirstColumn="0" w:lastRowLastColumn="0"/>
            </w:pPr>
            <w:r>
              <w:t>Enhanced research efficiency through the avoidance of duplicated effort.</w:t>
            </w:r>
          </w:p>
        </w:tc>
        <w:tc>
          <w:tcPr>
            <w:tcW w:w="4111" w:type="dxa"/>
          </w:tcPr>
          <w:p w:rsidR="00F27E9F" w:rsidRDefault="00F27E9F" w:rsidP="00F27E9F">
            <w:pPr>
              <w:pStyle w:val="ListParagraph"/>
              <w:numPr>
                <w:ilvl w:val="0"/>
                <w:numId w:val="9"/>
              </w:numPr>
              <w:ind w:left="175" w:hanging="175"/>
              <w:cnfStyle w:val="000000100000" w:firstRow="0" w:lastRow="0" w:firstColumn="0" w:lastColumn="0" w:oddVBand="0" w:evenVBand="0" w:oddHBand="1" w:evenHBand="0" w:firstRowFirstColumn="0" w:firstRowLastColumn="0" w:lastRowFirstColumn="0" w:lastRowLastColumn="0"/>
            </w:pPr>
          </w:p>
        </w:tc>
        <w:tc>
          <w:tcPr>
            <w:tcW w:w="4110" w:type="dxa"/>
          </w:tcPr>
          <w:p w:rsidR="00F27E9F" w:rsidRDefault="00F27E9F" w:rsidP="00F27E9F">
            <w:pPr>
              <w:pStyle w:val="ListParagraph"/>
              <w:numPr>
                <w:ilvl w:val="0"/>
                <w:numId w:val="9"/>
              </w:numPr>
              <w:ind w:left="175" w:hanging="175"/>
              <w:cnfStyle w:val="000000100000" w:firstRow="0" w:lastRow="0" w:firstColumn="0" w:lastColumn="0" w:oddVBand="0" w:evenVBand="0" w:oddHBand="1" w:evenHBand="0" w:firstRowFirstColumn="0" w:firstRowLastColumn="0" w:lastRowFirstColumn="0" w:lastRowLastColumn="0"/>
            </w:pPr>
          </w:p>
        </w:tc>
      </w:tr>
      <w:tr w:rsidR="00F27E9F" w:rsidTr="00A908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tcPr>
          <w:p w:rsidR="00F27E9F" w:rsidRPr="00D83EC7" w:rsidRDefault="00F27E9F" w:rsidP="00A90836">
            <w:pPr>
              <w:rPr>
                <w:rFonts w:asciiTheme="minorHAnsi" w:hAnsiTheme="minorHAnsi"/>
                <w:b w:val="0"/>
              </w:rPr>
            </w:pPr>
            <w:r w:rsidRPr="00D83EC7">
              <w:rPr>
                <w:rFonts w:asciiTheme="minorHAnsi" w:hAnsiTheme="minorHAnsi"/>
                <w:b w:val="0"/>
              </w:rPr>
              <w:lastRenderedPageBreak/>
              <w:t>Knowledge sharing and skills transfer</w:t>
            </w:r>
          </w:p>
        </w:tc>
        <w:tc>
          <w:tcPr>
            <w:tcW w:w="4050" w:type="dxa"/>
          </w:tcPr>
          <w:p w:rsidR="00F27E9F" w:rsidRDefault="00F27E9F" w:rsidP="00F27E9F">
            <w:pPr>
              <w:pStyle w:val="ListParagraph"/>
              <w:numPr>
                <w:ilvl w:val="0"/>
                <w:numId w:val="10"/>
              </w:numPr>
              <w:ind w:left="115" w:hanging="115"/>
              <w:cnfStyle w:val="000000010000" w:firstRow="0" w:lastRow="0" w:firstColumn="0" w:lastColumn="0" w:oddVBand="0" w:evenVBand="0" w:oddHBand="0" w:evenHBand="1" w:firstRowFirstColumn="0" w:firstRowLastColumn="0" w:lastRowFirstColumn="0" w:lastRowLastColumn="0"/>
            </w:pPr>
            <w:r>
              <w:t>Skills/capacity development through the utilisation of existing expertise or the joint procurement of training opportunities.</w:t>
            </w:r>
          </w:p>
          <w:p w:rsidR="00F27E9F" w:rsidRDefault="00F27E9F" w:rsidP="00F27E9F">
            <w:pPr>
              <w:pStyle w:val="ListParagraph"/>
              <w:numPr>
                <w:ilvl w:val="0"/>
                <w:numId w:val="10"/>
              </w:numPr>
              <w:ind w:left="115" w:hanging="115"/>
              <w:cnfStyle w:val="000000010000" w:firstRow="0" w:lastRow="0" w:firstColumn="0" w:lastColumn="0" w:oddVBand="0" w:evenVBand="0" w:oddHBand="0" w:evenHBand="1" w:firstRowFirstColumn="0" w:firstRowLastColumn="0" w:lastRowFirstColumn="0" w:lastRowLastColumn="0"/>
            </w:pPr>
            <w:r>
              <w:t>Broadening of perspectives that may have become narrowed through isolation or exposure to one national way of thinking and doing.</w:t>
            </w:r>
          </w:p>
          <w:p w:rsidR="00F27E9F" w:rsidRDefault="00F27E9F" w:rsidP="00F27E9F">
            <w:pPr>
              <w:pStyle w:val="ListParagraph"/>
              <w:numPr>
                <w:ilvl w:val="0"/>
                <w:numId w:val="10"/>
              </w:numPr>
              <w:ind w:left="115" w:hanging="115"/>
              <w:cnfStyle w:val="000000010000" w:firstRow="0" w:lastRow="0" w:firstColumn="0" w:lastColumn="0" w:oddVBand="0" w:evenVBand="0" w:oddHBand="0" w:evenHBand="1" w:firstRowFirstColumn="0" w:firstRowLastColumn="0" w:lastRowFirstColumn="0" w:lastRowLastColumn="0"/>
            </w:pPr>
            <w:r>
              <w:t>Improved knowledge of all aspects associated with the management of the transboundary area.</w:t>
            </w:r>
          </w:p>
          <w:p w:rsidR="00F27E9F" w:rsidRDefault="00F27E9F" w:rsidP="00F27E9F">
            <w:pPr>
              <w:pStyle w:val="ListParagraph"/>
              <w:numPr>
                <w:ilvl w:val="0"/>
                <w:numId w:val="10"/>
              </w:numPr>
              <w:ind w:left="115" w:hanging="115"/>
              <w:cnfStyle w:val="000000010000" w:firstRow="0" w:lastRow="0" w:firstColumn="0" w:lastColumn="0" w:oddVBand="0" w:evenVBand="0" w:oddHBand="0" w:evenHBand="1" w:firstRowFirstColumn="0" w:firstRowLastColumn="0" w:lastRowFirstColumn="0" w:lastRowLastColumn="0"/>
            </w:pPr>
            <w:r>
              <w:t>Improved understanding between the partners.</w:t>
            </w:r>
          </w:p>
          <w:p w:rsidR="00F27E9F" w:rsidRDefault="00F27E9F" w:rsidP="00F27E9F">
            <w:pPr>
              <w:pStyle w:val="ListParagraph"/>
              <w:numPr>
                <w:ilvl w:val="0"/>
                <w:numId w:val="10"/>
              </w:numPr>
              <w:ind w:left="115" w:hanging="115"/>
              <w:cnfStyle w:val="000000010000" w:firstRow="0" w:lastRow="0" w:firstColumn="0" w:lastColumn="0" w:oddVBand="0" w:evenVBand="0" w:oddHBand="0" w:evenHBand="1" w:firstRowFirstColumn="0" w:firstRowLastColumn="0" w:lastRowFirstColumn="0" w:lastRowLastColumn="0"/>
            </w:pPr>
            <w:r>
              <w:t>Transboundary agreements may allow for staff exchange programmes</w:t>
            </w:r>
          </w:p>
        </w:tc>
        <w:tc>
          <w:tcPr>
            <w:tcW w:w="4111" w:type="dxa"/>
          </w:tcPr>
          <w:p w:rsidR="00F27E9F" w:rsidRDefault="00F27E9F" w:rsidP="00F27E9F">
            <w:pPr>
              <w:pStyle w:val="ListParagraph"/>
              <w:numPr>
                <w:ilvl w:val="0"/>
                <w:numId w:val="10"/>
              </w:numPr>
              <w:ind w:left="175" w:hanging="175"/>
              <w:cnfStyle w:val="000000010000" w:firstRow="0" w:lastRow="0" w:firstColumn="0" w:lastColumn="0" w:oddVBand="0" w:evenVBand="0" w:oddHBand="0" w:evenHBand="1" w:firstRowFirstColumn="0" w:firstRowLastColumn="0" w:lastRowFirstColumn="0" w:lastRowLastColumn="0"/>
            </w:pPr>
          </w:p>
        </w:tc>
        <w:tc>
          <w:tcPr>
            <w:tcW w:w="4110" w:type="dxa"/>
          </w:tcPr>
          <w:p w:rsidR="00F27E9F" w:rsidRDefault="00F27E9F" w:rsidP="00F27E9F">
            <w:pPr>
              <w:pStyle w:val="ListParagraph"/>
              <w:numPr>
                <w:ilvl w:val="0"/>
                <w:numId w:val="10"/>
              </w:numPr>
              <w:ind w:left="175" w:hanging="175"/>
              <w:cnfStyle w:val="000000010000" w:firstRow="0" w:lastRow="0" w:firstColumn="0" w:lastColumn="0" w:oddVBand="0" w:evenVBand="0" w:oddHBand="0" w:evenHBand="1" w:firstRowFirstColumn="0" w:firstRowLastColumn="0" w:lastRowFirstColumn="0" w:lastRowLastColumn="0"/>
            </w:pPr>
          </w:p>
        </w:tc>
      </w:tr>
    </w:tbl>
    <w:p w:rsidR="00F27E9F" w:rsidRDefault="00F27E9F" w:rsidP="00A13D02">
      <w:pPr>
        <w:pStyle w:val="Heading2"/>
        <w:sectPr w:rsidR="00F27E9F" w:rsidSect="00AE7180">
          <w:pgSz w:w="16838" w:h="11906" w:orient="landscape"/>
          <w:pgMar w:top="1440" w:right="1440" w:bottom="1440" w:left="1440" w:header="708" w:footer="708" w:gutter="0"/>
          <w:cols w:space="708"/>
          <w:docGrid w:linePitch="360"/>
        </w:sectPr>
      </w:pPr>
    </w:p>
    <w:p w:rsidR="00A13D02" w:rsidRDefault="00A13D02" w:rsidP="00A13D02">
      <w:pPr>
        <w:pStyle w:val="Heading2"/>
      </w:pPr>
      <w:r>
        <w:lastRenderedPageBreak/>
        <w:t>Group C: The Status Quo of SADC TFCAs</w:t>
      </w:r>
    </w:p>
    <w:p w:rsidR="00AE7180" w:rsidRDefault="00ED76B6" w:rsidP="005C7052">
      <w:r>
        <w:t xml:space="preserve">It is acknowledged that it is unlikely that this group will include representatives from each of the existing SADC TFCAs and therefore the most that we can ask this group to do is to </w:t>
      </w:r>
      <w:r w:rsidR="006E2862">
        <w:t>critically review the template that will be used to capture and reflect this information in the Guideline, while provid</w:t>
      </w:r>
      <w:r w:rsidR="00EE2EFA">
        <w:t>ing</w:t>
      </w:r>
      <w:r w:rsidR="006E2862">
        <w:t xml:space="preserve"> as much input as possible in the absence of </w:t>
      </w:r>
      <w:r w:rsidR="00EE2EFA">
        <w:t>better representation.  The template for gathering information is as follows:</w:t>
      </w:r>
    </w:p>
    <w:tbl>
      <w:tblPr>
        <w:tblStyle w:val="LightGrid-Accent3"/>
        <w:tblW w:w="5000" w:type="pct"/>
        <w:tblLook w:val="04A0" w:firstRow="1" w:lastRow="0" w:firstColumn="1" w:lastColumn="0" w:noHBand="0" w:noVBand="1"/>
      </w:tblPr>
      <w:tblGrid>
        <w:gridCol w:w="1563"/>
        <w:gridCol w:w="1563"/>
        <w:gridCol w:w="1563"/>
        <w:gridCol w:w="1563"/>
        <w:gridCol w:w="1566"/>
        <w:gridCol w:w="1658"/>
        <w:gridCol w:w="1565"/>
        <w:gridCol w:w="1565"/>
        <w:gridCol w:w="1568"/>
      </w:tblGrid>
      <w:tr w:rsidR="00AE7180" w:rsidTr="005C70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shd w:val="clear" w:color="auto" w:fill="4F6228" w:themeFill="accent3" w:themeFillShade="80"/>
            <w:vAlign w:val="center"/>
          </w:tcPr>
          <w:p w:rsidR="00AE7180" w:rsidRPr="005C7052" w:rsidRDefault="00AE7180" w:rsidP="005C7052">
            <w:pPr>
              <w:jc w:val="center"/>
              <w:rPr>
                <w:color w:val="FFFFFF" w:themeColor="background1"/>
              </w:rPr>
            </w:pPr>
            <w:r w:rsidRPr="005C7052">
              <w:rPr>
                <w:color w:val="FFFFFF" w:themeColor="background1"/>
              </w:rPr>
              <w:t>Name of TFCA</w:t>
            </w:r>
          </w:p>
        </w:tc>
        <w:tc>
          <w:tcPr>
            <w:tcW w:w="551" w:type="pct"/>
            <w:shd w:val="clear" w:color="auto" w:fill="4F6228" w:themeFill="accent3" w:themeFillShade="80"/>
            <w:vAlign w:val="center"/>
          </w:tcPr>
          <w:p w:rsidR="00AE7180" w:rsidRPr="005C7052" w:rsidRDefault="00AE7180" w:rsidP="005C7052">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C7052">
              <w:rPr>
                <w:color w:val="FFFFFF" w:themeColor="background1"/>
              </w:rPr>
              <w:t>Countries involved</w:t>
            </w:r>
          </w:p>
        </w:tc>
        <w:tc>
          <w:tcPr>
            <w:tcW w:w="551" w:type="pct"/>
            <w:shd w:val="clear" w:color="auto" w:fill="4F6228" w:themeFill="accent3" w:themeFillShade="80"/>
            <w:vAlign w:val="center"/>
          </w:tcPr>
          <w:p w:rsidR="00AE7180" w:rsidRPr="005C7052" w:rsidRDefault="00AE7180" w:rsidP="005C7052">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C7052">
              <w:rPr>
                <w:color w:val="FFFFFF" w:themeColor="background1"/>
              </w:rPr>
              <w:t>Status</w:t>
            </w:r>
          </w:p>
        </w:tc>
        <w:tc>
          <w:tcPr>
            <w:tcW w:w="551" w:type="pct"/>
            <w:shd w:val="clear" w:color="auto" w:fill="4F6228" w:themeFill="accent3" w:themeFillShade="80"/>
            <w:vAlign w:val="center"/>
          </w:tcPr>
          <w:p w:rsidR="00AE7180" w:rsidRPr="005C7052" w:rsidRDefault="00AE7180" w:rsidP="005C7052">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C7052">
              <w:rPr>
                <w:color w:val="FFFFFF" w:themeColor="background1"/>
              </w:rPr>
              <w:t>Nature of agreements</w:t>
            </w:r>
          </w:p>
        </w:tc>
        <w:tc>
          <w:tcPr>
            <w:tcW w:w="552" w:type="pct"/>
            <w:shd w:val="clear" w:color="auto" w:fill="4F6228" w:themeFill="accent3" w:themeFillShade="80"/>
            <w:vAlign w:val="center"/>
          </w:tcPr>
          <w:p w:rsidR="00AE7180" w:rsidRPr="005C7052" w:rsidRDefault="00AE7180" w:rsidP="005C7052">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C7052">
              <w:rPr>
                <w:color w:val="FFFFFF" w:themeColor="background1"/>
              </w:rPr>
              <w:t>Governance structures</w:t>
            </w:r>
          </w:p>
        </w:tc>
        <w:tc>
          <w:tcPr>
            <w:tcW w:w="585" w:type="pct"/>
            <w:shd w:val="clear" w:color="auto" w:fill="4F6228" w:themeFill="accent3" w:themeFillShade="80"/>
            <w:vAlign w:val="center"/>
          </w:tcPr>
          <w:p w:rsidR="00AE7180" w:rsidRPr="005C7052" w:rsidRDefault="00AE7180" w:rsidP="005C7052">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C7052">
              <w:rPr>
                <w:color w:val="FFFFFF" w:themeColor="background1"/>
              </w:rPr>
              <w:t>Key reasons for establishment</w:t>
            </w:r>
          </w:p>
        </w:tc>
        <w:tc>
          <w:tcPr>
            <w:tcW w:w="552" w:type="pct"/>
            <w:shd w:val="clear" w:color="auto" w:fill="4F6228" w:themeFill="accent3" w:themeFillShade="80"/>
            <w:vAlign w:val="center"/>
          </w:tcPr>
          <w:p w:rsidR="00AE7180" w:rsidRPr="005C7052" w:rsidRDefault="005C7052" w:rsidP="005C7052">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C7052">
              <w:rPr>
                <w:color w:val="FFFFFF" w:themeColor="background1"/>
              </w:rPr>
              <w:t>B</w:t>
            </w:r>
            <w:r w:rsidR="00AE7180" w:rsidRPr="005C7052">
              <w:rPr>
                <w:color w:val="FFFFFF" w:themeColor="background1"/>
              </w:rPr>
              <w:t>enefits</w:t>
            </w:r>
          </w:p>
        </w:tc>
        <w:tc>
          <w:tcPr>
            <w:tcW w:w="552" w:type="pct"/>
            <w:shd w:val="clear" w:color="auto" w:fill="4F6228" w:themeFill="accent3" w:themeFillShade="80"/>
            <w:vAlign w:val="center"/>
          </w:tcPr>
          <w:p w:rsidR="00AE7180" w:rsidRPr="005C7052" w:rsidRDefault="00AE7180" w:rsidP="005C7052">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C7052">
              <w:rPr>
                <w:color w:val="FFFFFF" w:themeColor="background1"/>
              </w:rPr>
              <w:t>Challenges</w:t>
            </w:r>
          </w:p>
        </w:tc>
        <w:tc>
          <w:tcPr>
            <w:tcW w:w="553" w:type="pct"/>
            <w:shd w:val="clear" w:color="auto" w:fill="4F6228" w:themeFill="accent3" w:themeFillShade="80"/>
            <w:vAlign w:val="center"/>
          </w:tcPr>
          <w:p w:rsidR="00AE7180" w:rsidRPr="005C7052" w:rsidRDefault="005C7052" w:rsidP="005C7052">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C7052">
              <w:rPr>
                <w:color w:val="FFFFFF" w:themeColor="background1"/>
              </w:rPr>
              <w:t>Long-term viability plan</w:t>
            </w:r>
          </w:p>
        </w:tc>
      </w:tr>
      <w:tr w:rsidR="00F27E9F" w:rsidTr="005C7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Pr>
          <w:p w:rsidR="00F27E9F" w:rsidRPr="00F27E9F" w:rsidRDefault="00F27E9F" w:rsidP="00A13D02">
            <w:pPr>
              <w:rPr>
                <w:rFonts w:asciiTheme="minorHAnsi" w:hAnsiTheme="minorHAnsi"/>
                <w:b w:val="0"/>
              </w:rPr>
            </w:pPr>
            <w:r w:rsidRPr="00F27E9F">
              <w:rPr>
                <w:rFonts w:asciiTheme="minorHAnsi" w:hAnsiTheme="minorHAnsi"/>
                <w:b w:val="0"/>
              </w:rPr>
              <w:t>/Ai /</w:t>
            </w:r>
            <w:proofErr w:type="spellStart"/>
            <w:r w:rsidRPr="00F27E9F">
              <w:rPr>
                <w:rFonts w:asciiTheme="minorHAnsi" w:hAnsiTheme="minorHAnsi"/>
                <w:b w:val="0"/>
              </w:rPr>
              <w:t>Ais</w:t>
            </w:r>
            <w:proofErr w:type="spellEnd"/>
            <w:r w:rsidRPr="00F27E9F">
              <w:rPr>
                <w:rFonts w:asciiTheme="minorHAnsi" w:hAnsiTheme="minorHAnsi"/>
                <w:b w:val="0"/>
              </w:rPr>
              <w:t>-Richtersveld</w:t>
            </w:r>
          </w:p>
        </w:tc>
        <w:tc>
          <w:tcPr>
            <w:tcW w:w="551" w:type="pct"/>
          </w:tcPr>
          <w:p w:rsidR="00F27E9F" w:rsidRDefault="00F27E9F" w:rsidP="00A13D02">
            <w:pPr>
              <w:cnfStyle w:val="000000100000" w:firstRow="0" w:lastRow="0" w:firstColumn="0" w:lastColumn="0" w:oddVBand="0" w:evenVBand="0" w:oddHBand="1" w:evenHBand="0" w:firstRowFirstColumn="0" w:firstRowLastColumn="0" w:lastRowFirstColumn="0" w:lastRowLastColumn="0"/>
            </w:pPr>
          </w:p>
        </w:tc>
        <w:tc>
          <w:tcPr>
            <w:tcW w:w="551" w:type="pct"/>
          </w:tcPr>
          <w:p w:rsidR="00F27E9F" w:rsidRDefault="00F27E9F" w:rsidP="00AE7180">
            <w:pPr>
              <w:cnfStyle w:val="000000100000" w:firstRow="0" w:lastRow="0" w:firstColumn="0" w:lastColumn="0" w:oddVBand="0" w:evenVBand="0" w:oddHBand="1" w:evenHBand="0" w:firstRowFirstColumn="0" w:firstRowLastColumn="0" w:lastRowFirstColumn="0" w:lastRowLastColumn="0"/>
            </w:pPr>
          </w:p>
        </w:tc>
        <w:tc>
          <w:tcPr>
            <w:tcW w:w="551" w:type="pct"/>
          </w:tcPr>
          <w:p w:rsidR="00F27E9F" w:rsidRDefault="00F27E9F" w:rsidP="00A13D02">
            <w:pPr>
              <w:cnfStyle w:val="000000100000" w:firstRow="0" w:lastRow="0" w:firstColumn="0" w:lastColumn="0" w:oddVBand="0" w:evenVBand="0" w:oddHBand="1" w:evenHBand="0" w:firstRowFirstColumn="0" w:firstRowLastColumn="0" w:lastRowFirstColumn="0" w:lastRowLastColumn="0"/>
            </w:pPr>
          </w:p>
        </w:tc>
        <w:tc>
          <w:tcPr>
            <w:tcW w:w="552" w:type="pct"/>
          </w:tcPr>
          <w:p w:rsidR="00F27E9F" w:rsidRDefault="00F27E9F" w:rsidP="00A13D02">
            <w:pPr>
              <w:cnfStyle w:val="000000100000" w:firstRow="0" w:lastRow="0" w:firstColumn="0" w:lastColumn="0" w:oddVBand="0" w:evenVBand="0" w:oddHBand="1" w:evenHBand="0" w:firstRowFirstColumn="0" w:firstRowLastColumn="0" w:lastRowFirstColumn="0" w:lastRowLastColumn="0"/>
            </w:pPr>
          </w:p>
        </w:tc>
        <w:tc>
          <w:tcPr>
            <w:tcW w:w="585" w:type="pct"/>
          </w:tcPr>
          <w:p w:rsidR="00F27E9F" w:rsidRDefault="00F27E9F" w:rsidP="00A13D02">
            <w:pPr>
              <w:cnfStyle w:val="000000100000" w:firstRow="0" w:lastRow="0" w:firstColumn="0" w:lastColumn="0" w:oddVBand="0" w:evenVBand="0" w:oddHBand="1" w:evenHBand="0" w:firstRowFirstColumn="0" w:firstRowLastColumn="0" w:lastRowFirstColumn="0" w:lastRowLastColumn="0"/>
            </w:pPr>
          </w:p>
        </w:tc>
        <w:tc>
          <w:tcPr>
            <w:tcW w:w="552" w:type="pct"/>
          </w:tcPr>
          <w:p w:rsidR="00F27E9F" w:rsidRDefault="00F27E9F" w:rsidP="00A13D02">
            <w:pPr>
              <w:cnfStyle w:val="000000100000" w:firstRow="0" w:lastRow="0" w:firstColumn="0" w:lastColumn="0" w:oddVBand="0" w:evenVBand="0" w:oddHBand="1" w:evenHBand="0" w:firstRowFirstColumn="0" w:firstRowLastColumn="0" w:lastRowFirstColumn="0" w:lastRowLastColumn="0"/>
            </w:pPr>
          </w:p>
        </w:tc>
        <w:tc>
          <w:tcPr>
            <w:tcW w:w="552" w:type="pct"/>
          </w:tcPr>
          <w:p w:rsidR="00F27E9F" w:rsidRDefault="00F27E9F" w:rsidP="00A13D02">
            <w:pPr>
              <w:cnfStyle w:val="000000100000" w:firstRow="0" w:lastRow="0" w:firstColumn="0" w:lastColumn="0" w:oddVBand="0" w:evenVBand="0" w:oddHBand="1" w:evenHBand="0" w:firstRowFirstColumn="0" w:firstRowLastColumn="0" w:lastRowFirstColumn="0" w:lastRowLastColumn="0"/>
            </w:pPr>
          </w:p>
        </w:tc>
        <w:tc>
          <w:tcPr>
            <w:tcW w:w="553" w:type="pct"/>
          </w:tcPr>
          <w:p w:rsidR="00F27E9F" w:rsidRDefault="00F27E9F" w:rsidP="00A13D02">
            <w:pPr>
              <w:cnfStyle w:val="000000100000" w:firstRow="0" w:lastRow="0" w:firstColumn="0" w:lastColumn="0" w:oddVBand="0" w:evenVBand="0" w:oddHBand="1" w:evenHBand="0" w:firstRowFirstColumn="0" w:firstRowLastColumn="0" w:lastRowFirstColumn="0" w:lastRowLastColumn="0"/>
            </w:pPr>
          </w:p>
        </w:tc>
      </w:tr>
      <w:tr w:rsidR="00F27E9F" w:rsidTr="005C70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Pr>
          <w:p w:rsidR="00AE7180" w:rsidRPr="005C7052" w:rsidRDefault="00AE7180" w:rsidP="00A13D02">
            <w:pPr>
              <w:rPr>
                <w:rFonts w:asciiTheme="minorHAnsi" w:hAnsiTheme="minorHAnsi"/>
                <w:b w:val="0"/>
              </w:rPr>
            </w:pPr>
            <w:r w:rsidRPr="005C7052">
              <w:rPr>
                <w:rFonts w:asciiTheme="minorHAnsi" w:hAnsiTheme="minorHAnsi"/>
                <w:b w:val="0"/>
              </w:rPr>
              <w:t>Kgalagadi</w:t>
            </w:r>
          </w:p>
        </w:tc>
        <w:tc>
          <w:tcPr>
            <w:tcW w:w="551" w:type="pct"/>
          </w:tcPr>
          <w:p w:rsidR="00AE7180" w:rsidRDefault="00AE7180" w:rsidP="00A13D02">
            <w:pPr>
              <w:cnfStyle w:val="000000010000" w:firstRow="0" w:lastRow="0" w:firstColumn="0" w:lastColumn="0" w:oddVBand="0" w:evenVBand="0" w:oddHBand="0" w:evenHBand="1" w:firstRowFirstColumn="0" w:firstRowLastColumn="0" w:lastRowFirstColumn="0" w:lastRowLastColumn="0"/>
            </w:pPr>
          </w:p>
        </w:tc>
        <w:tc>
          <w:tcPr>
            <w:tcW w:w="551" w:type="pct"/>
          </w:tcPr>
          <w:p w:rsidR="00AE7180" w:rsidRDefault="00AE7180" w:rsidP="00AE7180">
            <w:pPr>
              <w:cnfStyle w:val="000000010000" w:firstRow="0" w:lastRow="0" w:firstColumn="0" w:lastColumn="0" w:oddVBand="0" w:evenVBand="0" w:oddHBand="0" w:evenHBand="1" w:firstRowFirstColumn="0" w:firstRowLastColumn="0" w:lastRowFirstColumn="0" w:lastRowLastColumn="0"/>
            </w:pPr>
          </w:p>
        </w:tc>
        <w:tc>
          <w:tcPr>
            <w:tcW w:w="551" w:type="pct"/>
          </w:tcPr>
          <w:p w:rsidR="00AE7180" w:rsidRDefault="00AE7180" w:rsidP="00A13D02">
            <w:pPr>
              <w:cnfStyle w:val="000000010000" w:firstRow="0" w:lastRow="0" w:firstColumn="0" w:lastColumn="0" w:oddVBand="0" w:evenVBand="0" w:oddHBand="0" w:evenHBand="1" w:firstRowFirstColumn="0" w:firstRowLastColumn="0" w:lastRowFirstColumn="0" w:lastRowLastColumn="0"/>
            </w:pPr>
          </w:p>
        </w:tc>
        <w:tc>
          <w:tcPr>
            <w:tcW w:w="552" w:type="pct"/>
          </w:tcPr>
          <w:p w:rsidR="00AE7180" w:rsidRDefault="00AE7180" w:rsidP="00A13D02">
            <w:pPr>
              <w:cnfStyle w:val="000000010000" w:firstRow="0" w:lastRow="0" w:firstColumn="0" w:lastColumn="0" w:oddVBand="0" w:evenVBand="0" w:oddHBand="0" w:evenHBand="1" w:firstRowFirstColumn="0" w:firstRowLastColumn="0" w:lastRowFirstColumn="0" w:lastRowLastColumn="0"/>
            </w:pPr>
          </w:p>
        </w:tc>
        <w:tc>
          <w:tcPr>
            <w:tcW w:w="585" w:type="pct"/>
          </w:tcPr>
          <w:p w:rsidR="00AE7180" w:rsidRDefault="00AE7180" w:rsidP="00A13D02">
            <w:pPr>
              <w:cnfStyle w:val="000000010000" w:firstRow="0" w:lastRow="0" w:firstColumn="0" w:lastColumn="0" w:oddVBand="0" w:evenVBand="0" w:oddHBand="0" w:evenHBand="1" w:firstRowFirstColumn="0" w:firstRowLastColumn="0" w:lastRowFirstColumn="0" w:lastRowLastColumn="0"/>
            </w:pPr>
          </w:p>
        </w:tc>
        <w:tc>
          <w:tcPr>
            <w:tcW w:w="552" w:type="pct"/>
          </w:tcPr>
          <w:p w:rsidR="00AE7180" w:rsidRDefault="00AE7180" w:rsidP="00A13D02">
            <w:pPr>
              <w:cnfStyle w:val="000000010000" w:firstRow="0" w:lastRow="0" w:firstColumn="0" w:lastColumn="0" w:oddVBand="0" w:evenVBand="0" w:oddHBand="0" w:evenHBand="1" w:firstRowFirstColumn="0" w:firstRowLastColumn="0" w:lastRowFirstColumn="0" w:lastRowLastColumn="0"/>
            </w:pPr>
          </w:p>
        </w:tc>
        <w:tc>
          <w:tcPr>
            <w:tcW w:w="552" w:type="pct"/>
          </w:tcPr>
          <w:p w:rsidR="00AE7180" w:rsidRDefault="00AE7180" w:rsidP="00A13D02">
            <w:pPr>
              <w:cnfStyle w:val="000000010000" w:firstRow="0" w:lastRow="0" w:firstColumn="0" w:lastColumn="0" w:oddVBand="0" w:evenVBand="0" w:oddHBand="0" w:evenHBand="1" w:firstRowFirstColumn="0" w:firstRowLastColumn="0" w:lastRowFirstColumn="0" w:lastRowLastColumn="0"/>
            </w:pPr>
          </w:p>
        </w:tc>
        <w:tc>
          <w:tcPr>
            <w:tcW w:w="553" w:type="pct"/>
          </w:tcPr>
          <w:p w:rsidR="00AE7180" w:rsidRDefault="00AE7180" w:rsidP="00A13D02">
            <w:pPr>
              <w:cnfStyle w:val="000000010000" w:firstRow="0" w:lastRow="0" w:firstColumn="0" w:lastColumn="0" w:oddVBand="0" w:evenVBand="0" w:oddHBand="0" w:evenHBand="1" w:firstRowFirstColumn="0" w:firstRowLastColumn="0" w:lastRowFirstColumn="0" w:lastRowLastColumn="0"/>
            </w:pPr>
          </w:p>
        </w:tc>
      </w:tr>
      <w:tr w:rsidR="00F27E9F" w:rsidTr="005C7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Pr>
          <w:p w:rsidR="00AE7180" w:rsidRPr="005C7052" w:rsidRDefault="00AE7180" w:rsidP="00A13D02">
            <w:pPr>
              <w:rPr>
                <w:rFonts w:asciiTheme="minorHAnsi" w:hAnsiTheme="minorHAnsi"/>
                <w:b w:val="0"/>
              </w:rPr>
            </w:pPr>
            <w:r w:rsidRPr="005C7052">
              <w:rPr>
                <w:rFonts w:asciiTheme="minorHAnsi" w:hAnsiTheme="minorHAnsi"/>
                <w:b w:val="0"/>
              </w:rPr>
              <w:t xml:space="preserve">Greater </w:t>
            </w:r>
            <w:proofErr w:type="spellStart"/>
            <w:r w:rsidRPr="005C7052">
              <w:rPr>
                <w:rFonts w:asciiTheme="minorHAnsi" w:hAnsiTheme="minorHAnsi"/>
                <w:b w:val="0"/>
              </w:rPr>
              <w:t>Mapungubwe</w:t>
            </w:r>
            <w:proofErr w:type="spellEnd"/>
          </w:p>
        </w:tc>
        <w:tc>
          <w:tcPr>
            <w:tcW w:w="551" w:type="pct"/>
          </w:tcPr>
          <w:p w:rsidR="00AE7180" w:rsidRDefault="00AE7180" w:rsidP="00A13D02">
            <w:pPr>
              <w:cnfStyle w:val="000000100000" w:firstRow="0" w:lastRow="0" w:firstColumn="0" w:lastColumn="0" w:oddVBand="0" w:evenVBand="0" w:oddHBand="1" w:evenHBand="0" w:firstRowFirstColumn="0" w:firstRowLastColumn="0" w:lastRowFirstColumn="0" w:lastRowLastColumn="0"/>
            </w:pPr>
          </w:p>
        </w:tc>
        <w:tc>
          <w:tcPr>
            <w:tcW w:w="551" w:type="pct"/>
          </w:tcPr>
          <w:p w:rsidR="00AE7180" w:rsidRDefault="00AE7180" w:rsidP="00AE7180">
            <w:pPr>
              <w:cnfStyle w:val="000000100000" w:firstRow="0" w:lastRow="0" w:firstColumn="0" w:lastColumn="0" w:oddVBand="0" w:evenVBand="0" w:oddHBand="1" w:evenHBand="0" w:firstRowFirstColumn="0" w:firstRowLastColumn="0" w:lastRowFirstColumn="0" w:lastRowLastColumn="0"/>
            </w:pPr>
          </w:p>
        </w:tc>
        <w:tc>
          <w:tcPr>
            <w:tcW w:w="551" w:type="pct"/>
          </w:tcPr>
          <w:p w:rsidR="00AE7180" w:rsidRDefault="00AE7180" w:rsidP="00A13D02">
            <w:pPr>
              <w:cnfStyle w:val="000000100000" w:firstRow="0" w:lastRow="0" w:firstColumn="0" w:lastColumn="0" w:oddVBand="0" w:evenVBand="0" w:oddHBand="1" w:evenHBand="0" w:firstRowFirstColumn="0" w:firstRowLastColumn="0" w:lastRowFirstColumn="0" w:lastRowLastColumn="0"/>
            </w:pPr>
          </w:p>
        </w:tc>
        <w:tc>
          <w:tcPr>
            <w:tcW w:w="552" w:type="pct"/>
          </w:tcPr>
          <w:p w:rsidR="00AE7180" w:rsidRDefault="00AE7180" w:rsidP="00A13D02">
            <w:pPr>
              <w:cnfStyle w:val="000000100000" w:firstRow="0" w:lastRow="0" w:firstColumn="0" w:lastColumn="0" w:oddVBand="0" w:evenVBand="0" w:oddHBand="1" w:evenHBand="0" w:firstRowFirstColumn="0" w:firstRowLastColumn="0" w:lastRowFirstColumn="0" w:lastRowLastColumn="0"/>
            </w:pPr>
          </w:p>
        </w:tc>
        <w:tc>
          <w:tcPr>
            <w:tcW w:w="585" w:type="pct"/>
          </w:tcPr>
          <w:p w:rsidR="00AE7180" w:rsidRDefault="00AE7180" w:rsidP="00A13D02">
            <w:pPr>
              <w:cnfStyle w:val="000000100000" w:firstRow="0" w:lastRow="0" w:firstColumn="0" w:lastColumn="0" w:oddVBand="0" w:evenVBand="0" w:oddHBand="1" w:evenHBand="0" w:firstRowFirstColumn="0" w:firstRowLastColumn="0" w:lastRowFirstColumn="0" w:lastRowLastColumn="0"/>
            </w:pPr>
          </w:p>
        </w:tc>
        <w:tc>
          <w:tcPr>
            <w:tcW w:w="552" w:type="pct"/>
          </w:tcPr>
          <w:p w:rsidR="00AE7180" w:rsidRDefault="00AE7180" w:rsidP="00A13D02">
            <w:pPr>
              <w:cnfStyle w:val="000000100000" w:firstRow="0" w:lastRow="0" w:firstColumn="0" w:lastColumn="0" w:oddVBand="0" w:evenVBand="0" w:oddHBand="1" w:evenHBand="0" w:firstRowFirstColumn="0" w:firstRowLastColumn="0" w:lastRowFirstColumn="0" w:lastRowLastColumn="0"/>
            </w:pPr>
          </w:p>
        </w:tc>
        <w:tc>
          <w:tcPr>
            <w:tcW w:w="552" w:type="pct"/>
          </w:tcPr>
          <w:p w:rsidR="00AE7180" w:rsidRDefault="00AE7180" w:rsidP="00A13D02">
            <w:pPr>
              <w:cnfStyle w:val="000000100000" w:firstRow="0" w:lastRow="0" w:firstColumn="0" w:lastColumn="0" w:oddVBand="0" w:evenVBand="0" w:oddHBand="1" w:evenHBand="0" w:firstRowFirstColumn="0" w:firstRowLastColumn="0" w:lastRowFirstColumn="0" w:lastRowLastColumn="0"/>
            </w:pPr>
          </w:p>
        </w:tc>
        <w:tc>
          <w:tcPr>
            <w:tcW w:w="553" w:type="pct"/>
          </w:tcPr>
          <w:p w:rsidR="00AE7180" w:rsidRDefault="00AE7180" w:rsidP="00A13D02">
            <w:pPr>
              <w:cnfStyle w:val="000000100000" w:firstRow="0" w:lastRow="0" w:firstColumn="0" w:lastColumn="0" w:oddVBand="0" w:evenVBand="0" w:oddHBand="1" w:evenHBand="0" w:firstRowFirstColumn="0" w:firstRowLastColumn="0" w:lastRowFirstColumn="0" w:lastRowLastColumn="0"/>
            </w:pPr>
          </w:p>
        </w:tc>
      </w:tr>
      <w:tr w:rsidR="00F27E9F" w:rsidTr="005C70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Pr>
          <w:p w:rsidR="00AE7180" w:rsidRPr="005C7052" w:rsidRDefault="00AE7180" w:rsidP="00A13D02">
            <w:pPr>
              <w:rPr>
                <w:rFonts w:asciiTheme="minorHAnsi" w:hAnsiTheme="minorHAnsi"/>
                <w:b w:val="0"/>
              </w:rPr>
            </w:pPr>
            <w:r w:rsidRPr="005C7052">
              <w:rPr>
                <w:rFonts w:asciiTheme="minorHAnsi" w:hAnsiTheme="minorHAnsi"/>
                <w:b w:val="0"/>
              </w:rPr>
              <w:t>Maloti-Drakensberg</w:t>
            </w:r>
          </w:p>
        </w:tc>
        <w:tc>
          <w:tcPr>
            <w:tcW w:w="551" w:type="pct"/>
          </w:tcPr>
          <w:p w:rsidR="00AE7180" w:rsidRDefault="00AE7180" w:rsidP="00A13D02">
            <w:pPr>
              <w:cnfStyle w:val="000000010000" w:firstRow="0" w:lastRow="0" w:firstColumn="0" w:lastColumn="0" w:oddVBand="0" w:evenVBand="0" w:oddHBand="0" w:evenHBand="1" w:firstRowFirstColumn="0" w:firstRowLastColumn="0" w:lastRowFirstColumn="0" w:lastRowLastColumn="0"/>
            </w:pPr>
          </w:p>
        </w:tc>
        <w:tc>
          <w:tcPr>
            <w:tcW w:w="551" w:type="pct"/>
          </w:tcPr>
          <w:p w:rsidR="00AE7180" w:rsidRDefault="00AE7180" w:rsidP="00AE7180">
            <w:pPr>
              <w:cnfStyle w:val="000000010000" w:firstRow="0" w:lastRow="0" w:firstColumn="0" w:lastColumn="0" w:oddVBand="0" w:evenVBand="0" w:oddHBand="0" w:evenHBand="1" w:firstRowFirstColumn="0" w:firstRowLastColumn="0" w:lastRowFirstColumn="0" w:lastRowLastColumn="0"/>
            </w:pPr>
          </w:p>
        </w:tc>
        <w:tc>
          <w:tcPr>
            <w:tcW w:w="551" w:type="pct"/>
          </w:tcPr>
          <w:p w:rsidR="00AE7180" w:rsidRDefault="00AE7180" w:rsidP="00A13D02">
            <w:pPr>
              <w:cnfStyle w:val="000000010000" w:firstRow="0" w:lastRow="0" w:firstColumn="0" w:lastColumn="0" w:oddVBand="0" w:evenVBand="0" w:oddHBand="0" w:evenHBand="1" w:firstRowFirstColumn="0" w:firstRowLastColumn="0" w:lastRowFirstColumn="0" w:lastRowLastColumn="0"/>
            </w:pPr>
          </w:p>
        </w:tc>
        <w:tc>
          <w:tcPr>
            <w:tcW w:w="552" w:type="pct"/>
          </w:tcPr>
          <w:p w:rsidR="00AE7180" w:rsidRDefault="00AE7180" w:rsidP="00A13D02">
            <w:pPr>
              <w:cnfStyle w:val="000000010000" w:firstRow="0" w:lastRow="0" w:firstColumn="0" w:lastColumn="0" w:oddVBand="0" w:evenVBand="0" w:oddHBand="0" w:evenHBand="1" w:firstRowFirstColumn="0" w:firstRowLastColumn="0" w:lastRowFirstColumn="0" w:lastRowLastColumn="0"/>
            </w:pPr>
          </w:p>
        </w:tc>
        <w:tc>
          <w:tcPr>
            <w:tcW w:w="585" w:type="pct"/>
          </w:tcPr>
          <w:p w:rsidR="00AE7180" w:rsidRDefault="00AE7180" w:rsidP="00A13D02">
            <w:pPr>
              <w:cnfStyle w:val="000000010000" w:firstRow="0" w:lastRow="0" w:firstColumn="0" w:lastColumn="0" w:oddVBand="0" w:evenVBand="0" w:oddHBand="0" w:evenHBand="1" w:firstRowFirstColumn="0" w:firstRowLastColumn="0" w:lastRowFirstColumn="0" w:lastRowLastColumn="0"/>
            </w:pPr>
          </w:p>
        </w:tc>
        <w:tc>
          <w:tcPr>
            <w:tcW w:w="552" w:type="pct"/>
          </w:tcPr>
          <w:p w:rsidR="00AE7180" w:rsidRDefault="00AE7180" w:rsidP="00A13D02">
            <w:pPr>
              <w:cnfStyle w:val="000000010000" w:firstRow="0" w:lastRow="0" w:firstColumn="0" w:lastColumn="0" w:oddVBand="0" w:evenVBand="0" w:oddHBand="0" w:evenHBand="1" w:firstRowFirstColumn="0" w:firstRowLastColumn="0" w:lastRowFirstColumn="0" w:lastRowLastColumn="0"/>
            </w:pPr>
          </w:p>
        </w:tc>
        <w:tc>
          <w:tcPr>
            <w:tcW w:w="552" w:type="pct"/>
          </w:tcPr>
          <w:p w:rsidR="00AE7180" w:rsidRDefault="00AE7180" w:rsidP="00A13D02">
            <w:pPr>
              <w:cnfStyle w:val="000000010000" w:firstRow="0" w:lastRow="0" w:firstColumn="0" w:lastColumn="0" w:oddVBand="0" w:evenVBand="0" w:oddHBand="0" w:evenHBand="1" w:firstRowFirstColumn="0" w:firstRowLastColumn="0" w:lastRowFirstColumn="0" w:lastRowLastColumn="0"/>
            </w:pPr>
          </w:p>
        </w:tc>
        <w:tc>
          <w:tcPr>
            <w:tcW w:w="553" w:type="pct"/>
          </w:tcPr>
          <w:p w:rsidR="00AE7180" w:rsidRDefault="00AE7180" w:rsidP="00A13D02">
            <w:pPr>
              <w:cnfStyle w:val="000000010000" w:firstRow="0" w:lastRow="0" w:firstColumn="0" w:lastColumn="0" w:oddVBand="0" w:evenVBand="0" w:oddHBand="0" w:evenHBand="1" w:firstRowFirstColumn="0" w:firstRowLastColumn="0" w:lastRowFirstColumn="0" w:lastRowLastColumn="0"/>
            </w:pPr>
          </w:p>
        </w:tc>
      </w:tr>
      <w:tr w:rsidR="00F27E9F" w:rsidTr="005C7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Pr>
          <w:p w:rsidR="00AE7180" w:rsidRPr="005C7052" w:rsidRDefault="00AE7180" w:rsidP="00A13D02">
            <w:pPr>
              <w:rPr>
                <w:rFonts w:asciiTheme="minorHAnsi" w:hAnsiTheme="minorHAnsi"/>
                <w:b w:val="0"/>
              </w:rPr>
            </w:pPr>
            <w:r w:rsidRPr="005C7052">
              <w:rPr>
                <w:rFonts w:asciiTheme="minorHAnsi" w:hAnsiTheme="minorHAnsi"/>
                <w:b w:val="0"/>
              </w:rPr>
              <w:t>Great Limpopo</w:t>
            </w:r>
          </w:p>
        </w:tc>
        <w:tc>
          <w:tcPr>
            <w:tcW w:w="551" w:type="pct"/>
          </w:tcPr>
          <w:p w:rsidR="00AE7180" w:rsidRDefault="00AE7180" w:rsidP="00A13D02">
            <w:pPr>
              <w:cnfStyle w:val="000000100000" w:firstRow="0" w:lastRow="0" w:firstColumn="0" w:lastColumn="0" w:oddVBand="0" w:evenVBand="0" w:oddHBand="1" w:evenHBand="0" w:firstRowFirstColumn="0" w:firstRowLastColumn="0" w:lastRowFirstColumn="0" w:lastRowLastColumn="0"/>
            </w:pPr>
          </w:p>
        </w:tc>
        <w:tc>
          <w:tcPr>
            <w:tcW w:w="551" w:type="pct"/>
          </w:tcPr>
          <w:p w:rsidR="00AE7180" w:rsidRDefault="00AE7180" w:rsidP="00AE7180">
            <w:pPr>
              <w:cnfStyle w:val="000000100000" w:firstRow="0" w:lastRow="0" w:firstColumn="0" w:lastColumn="0" w:oddVBand="0" w:evenVBand="0" w:oddHBand="1" w:evenHBand="0" w:firstRowFirstColumn="0" w:firstRowLastColumn="0" w:lastRowFirstColumn="0" w:lastRowLastColumn="0"/>
            </w:pPr>
          </w:p>
        </w:tc>
        <w:tc>
          <w:tcPr>
            <w:tcW w:w="551" w:type="pct"/>
          </w:tcPr>
          <w:p w:rsidR="00AE7180" w:rsidRDefault="00AE7180" w:rsidP="00A13D02">
            <w:pPr>
              <w:cnfStyle w:val="000000100000" w:firstRow="0" w:lastRow="0" w:firstColumn="0" w:lastColumn="0" w:oddVBand="0" w:evenVBand="0" w:oddHBand="1" w:evenHBand="0" w:firstRowFirstColumn="0" w:firstRowLastColumn="0" w:lastRowFirstColumn="0" w:lastRowLastColumn="0"/>
            </w:pPr>
          </w:p>
        </w:tc>
        <w:tc>
          <w:tcPr>
            <w:tcW w:w="552" w:type="pct"/>
          </w:tcPr>
          <w:p w:rsidR="00AE7180" w:rsidRDefault="00AE7180" w:rsidP="00A13D02">
            <w:pPr>
              <w:cnfStyle w:val="000000100000" w:firstRow="0" w:lastRow="0" w:firstColumn="0" w:lastColumn="0" w:oddVBand="0" w:evenVBand="0" w:oddHBand="1" w:evenHBand="0" w:firstRowFirstColumn="0" w:firstRowLastColumn="0" w:lastRowFirstColumn="0" w:lastRowLastColumn="0"/>
            </w:pPr>
          </w:p>
        </w:tc>
        <w:tc>
          <w:tcPr>
            <w:tcW w:w="585" w:type="pct"/>
          </w:tcPr>
          <w:p w:rsidR="00AE7180" w:rsidRDefault="00AE7180" w:rsidP="00A13D02">
            <w:pPr>
              <w:cnfStyle w:val="000000100000" w:firstRow="0" w:lastRow="0" w:firstColumn="0" w:lastColumn="0" w:oddVBand="0" w:evenVBand="0" w:oddHBand="1" w:evenHBand="0" w:firstRowFirstColumn="0" w:firstRowLastColumn="0" w:lastRowFirstColumn="0" w:lastRowLastColumn="0"/>
            </w:pPr>
          </w:p>
        </w:tc>
        <w:tc>
          <w:tcPr>
            <w:tcW w:w="552" w:type="pct"/>
          </w:tcPr>
          <w:p w:rsidR="00AE7180" w:rsidRDefault="00AE7180" w:rsidP="00A13D02">
            <w:pPr>
              <w:cnfStyle w:val="000000100000" w:firstRow="0" w:lastRow="0" w:firstColumn="0" w:lastColumn="0" w:oddVBand="0" w:evenVBand="0" w:oddHBand="1" w:evenHBand="0" w:firstRowFirstColumn="0" w:firstRowLastColumn="0" w:lastRowFirstColumn="0" w:lastRowLastColumn="0"/>
            </w:pPr>
          </w:p>
        </w:tc>
        <w:tc>
          <w:tcPr>
            <w:tcW w:w="552" w:type="pct"/>
          </w:tcPr>
          <w:p w:rsidR="00AE7180" w:rsidRDefault="00AE7180" w:rsidP="00A13D02">
            <w:pPr>
              <w:cnfStyle w:val="000000100000" w:firstRow="0" w:lastRow="0" w:firstColumn="0" w:lastColumn="0" w:oddVBand="0" w:evenVBand="0" w:oddHBand="1" w:evenHBand="0" w:firstRowFirstColumn="0" w:firstRowLastColumn="0" w:lastRowFirstColumn="0" w:lastRowLastColumn="0"/>
            </w:pPr>
          </w:p>
        </w:tc>
        <w:tc>
          <w:tcPr>
            <w:tcW w:w="553" w:type="pct"/>
          </w:tcPr>
          <w:p w:rsidR="00AE7180" w:rsidRDefault="00AE7180" w:rsidP="00A13D02">
            <w:pPr>
              <w:cnfStyle w:val="000000100000" w:firstRow="0" w:lastRow="0" w:firstColumn="0" w:lastColumn="0" w:oddVBand="0" w:evenVBand="0" w:oddHBand="1" w:evenHBand="0" w:firstRowFirstColumn="0" w:firstRowLastColumn="0" w:lastRowFirstColumn="0" w:lastRowLastColumn="0"/>
            </w:pPr>
          </w:p>
        </w:tc>
      </w:tr>
      <w:tr w:rsidR="00F27E9F" w:rsidTr="005C70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Pr>
          <w:p w:rsidR="00AE7180" w:rsidRPr="005C7052" w:rsidRDefault="00AE7180" w:rsidP="00A13D02">
            <w:pPr>
              <w:rPr>
                <w:rFonts w:asciiTheme="minorHAnsi" w:hAnsiTheme="minorHAnsi"/>
                <w:b w:val="0"/>
              </w:rPr>
            </w:pPr>
            <w:r w:rsidRPr="005C7052">
              <w:rPr>
                <w:rFonts w:asciiTheme="minorHAnsi" w:hAnsiTheme="minorHAnsi"/>
                <w:b w:val="0"/>
              </w:rPr>
              <w:t>Lubombo</w:t>
            </w:r>
          </w:p>
        </w:tc>
        <w:tc>
          <w:tcPr>
            <w:tcW w:w="551" w:type="pct"/>
          </w:tcPr>
          <w:p w:rsidR="00AE7180" w:rsidRDefault="00AE7180" w:rsidP="00A13D02">
            <w:pPr>
              <w:cnfStyle w:val="000000010000" w:firstRow="0" w:lastRow="0" w:firstColumn="0" w:lastColumn="0" w:oddVBand="0" w:evenVBand="0" w:oddHBand="0" w:evenHBand="1" w:firstRowFirstColumn="0" w:firstRowLastColumn="0" w:lastRowFirstColumn="0" w:lastRowLastColumn="0"/>
            </w:pPr>
          </w:p>
        </w:tc>
        <w:tc>
          <w:tcPr>
            <w:tcW w:w="551" w:type="pct"/>
          </w:tcPr>
          <w:p w:rsidR="00AE7180" w:rsidRDefault="00AE7180" w:rsidP="00AE7180">
            <w:pPr>
              <w:cnfStyle w:val="000000010000" w:firstRow="0" w:lastRow="0" w:firstColumn="0" w:lastColumn="0" w:oddVBand="0" w:evenVBand="0" w:oddHBand="0" w:evenHBand="1" w:firstRowFirstColumn="0" w:firstRowLastColumn="0" w:lastRowFirstColumn="0" w:lastRowLastColumn="0"/>
            </w:pPr>
          </w:p>
        </w:tc>
        <w:tc>
          <w:tcPr>
            <w:tcW w:w="551" w:type="pct"/>
          </w:tcPr>
          <w:p w:rsidR="00AE7180" w:rsidRDefault="00AE7180" w:rsidP="00A13D02">
            <w:pPr>
              <w:cnfStyle w:val="000000010000" w:firstRow="0" w:lastRow="0" w:firstColumn="0" w:lastColumn="0" w:oddVBand="0" w:evenVBand="0" w:oddHBand="0" w:evenHBand="1" w:firstRowFirstColumn="0" w:firstRowLastColumn="0" w:lastRowFirstColumn="0" w:lastRowLastColumn="0"/>
            </w:pPr>
          </w:p>
        </w:tc>
        <w:tc>
          <w:tcPr>
            <w:tcW w:w="552" w:type="pct"/>
          </w:tcPr>
          <w:p w:rsidR="00AE7180" w:rsidRDefault="00AE7180" w:rsidP="00A13D02">
            <w:pPr>
              <w:cnfStyle w:val="000000010000" w:firstRow="0" w:lastRow="0" w:firstColumn="0" w:lastColumn="0" w:oddVBand="0" w:evenVBand="0" w:oddHBand="0" w:evenHBand="1" w:firstRowFirstColumn="0" w:firstRowLastColumn="0" w:lastRowFirstColumn="0" w:lastRowLastColumn="0"/>
            </w:pPr>
          </w:p>
        </w:tc>
        <w:tc>
          <w:tcPr>
            <w:tcW w:w="585" w:type="pct"/>
          </w:tcPr>
          <w:p w:rsidR="00AE7180" w:rsidRDefault="00AE7180" w:rsidP="00A13D02">
            <w:pPr>
              <w:cnfStyle w:val="000000010000" w:firstRow="0" w:lastRow="0" w:firstColumn="0" w:lastColumn="0" w:oddVBand="0" w:evenVBand="0" w:oddHBand="0" w:evenHBand="1" w:firstRowFirstColumn="0" w:firstRowLastColumn="0" w:lastRowFirstColumn="0" w:lastRowLastColumn="0"/>
            </w:pPr>
          </w:p>
        </w:tc>
        <w:tc>
          <w:tcPr>
            <w:tcW w:w="552" w:type="pct"/>
          </w:tcPr>
          <w:p w:rsidR="00AE7180" w:rsidRDefault="00AE7180" w:rsidP="00A13D02">
            <w:pPr>
              <w:cnfStyle w:val="000000010000" w:firstRow="0" w:lastRow="0" w:firstColumn="0" w:lastColumn="0" w:oddVBand="0" w:evenVBand="0" w:oddHBand="0" w:evenHBand="1" w:firstRowFirstColumn="0" w:firstRowLastColumn="0" w:lastRowFirstColumn="0" w:lastRowLastColumn="0"/>
            </w:pPr>
          </w:p>
        </w:tc>
        <w:tc>
          <w:tcPr>
            <w:tcW w:w="552" w:type="pct"/>
          </w:tcPr>
          <w:p w:rsidR="00AE7180" w:rsidRDefault="00AE7180" w:rsidP="00A13D02">
            <w:pPr>
              <w:cnfStyle w:val="000000010000" w:firstRow="0" w:lastRow="0" w:firstColumn="0" w:lastColumn="0" w:oddVBand="0" w:evenVBand="0" w:oddHBand="0" w:evenHBand="1" w:firstRowFirstColumn="0" w:firstRowLastColumn="0" w:lastRowFirstColumn="0" w:lastRowLastColumn="0"/>
            </w:pPr>
          </w:p>
        </w:tc>
        <w:tc>
          <w:tcPr>
            <w:tcW w:w="553" w:type="pct"/>
          </w:tcPr>
          <w:p w:rsidR="00AE7180" w:rsidRDefault="00AE7180" w:rsidP="00A13D02">
            <w:pPr>
              <w:cnfStyle w:val="000000010000" w:firstRow="0" w:lastRow="0" w:firstColumn="0" w:lastColumn="0" w:oddVBand="0" w:evenVBand="0" w:oddHBand="0" w:evenHBand="1" w:firstRowFirstColumn="0" w:firstRowLastColumn="0" w:lastRowFirstColumn="0" w:lastRowLastColumn="0"/>
            </w:pPr>
          </w:p>
        </w:tc>
      </w:tr>
      <w:tr w:rsidR="00F27E9F" w:rsidTr="005C7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Pr>
          <w:p w:rsidR="00AE7180" w:rsidRPr="005C7052" w:rsidRDefault="00AE7180" w:rsidP="00A13D02">
            <w:pPr>
              <w:rPr>
                <w:rFonts w:asciiTheme="minorHAnsi" w:hAnsiTheme="minorHAnsi"/>
                <w:b w:val="0"/>
              </w:rPr>
            </w:pPr>
            <w:r w:rsidRPr="005C7052">
              <w:rPr>
                <w:rFonts w:asciiTheme="minorHAnsi" w:hAnsiTheme="minorHAnsi"/>
                <w:b w:val="0"/>
              </w:rPr>
              <w:t>Malawi-Zambia</w:t>
            </w:r>
          </w:p>
        </w:tc>
        <w:tc>
          <w:tcPr>
            <w:tcW w:w="551" w:type="pct"/>
          </w:tcPr>
          <w:p w:rsidR="00AE7180" w:rsidRDefault="00AE7180" w:rsidP="00A13D02">
            <w:pPr>
              <w:cnfStyle w:val="000000100000" w:firstRow="0" w:lastRow="0" w:firstColumn="0" w:lastColumn="0" w:oddVBand="0" w:evenVBand="0" w:oddHBand="1" w:evenHBand="0" w:firstRowFirstColumn="0" w:firstRowLastColumn="0" w:lastRowFirstColumn="0" w:lastRowLastColumn="0"/>
            </w:pPr>
          </w:p>
        </w:tc>
        <w:tc>
          <w:tcPr>
            <w:tcW w:w="551" w:type="pct"/>
          </w:tcPr>
          <w:p w:rsidR="00AE7180" w:rsidRDefault="00AE7180" w:rsidP="00AE7180">
            <w:pPr>
              <w:cnfStyle w:val="000000100000" w:firstRow="0" w:lastRow="0" w:firstColumn="0" w:lastColumn="0" w:oddVBand="0" w:evenVBand="0" w:oddHBand="1" w:evenHBand="0" w:firstRowFirstColumn="0" w:firstRowLastColumn="0" w:lastRowFirstColumn="0" w:lastRowLastColumn="0"/>
            </w:pPr>
          </w:p>
        </w:tc>
        <w:tc>
          <w:tcPr>
            <w:tcW w:w="551" w:type="pct"/>
          </w:tcPr>
          <w:p w:rsidR="00AE7180" w:rsidRDefault="00AE7180" w:rsidP="00A13D02">
            <w:pPr>
              <w:cnfStyle w:val="000000100000" w:firstRow="0" w:lastRow="0" w:firstColumn="0" w:lastColumn="0" w:oddVBand="0" w:evenVBand="0" w:oddHBand="1" w:evenHBand="0" w:firstRowFirstColumn="0" w:firstRowLastColumn="0" w:lastRowFirstColumn="0" w:lastRowLastColumn="0"/>
            </w:pPr>
          </w:p>
        </w:tc>
        <w:tc>
          <w:tcPr>
            <w:tcW w:w="552" w:type="pct"/>
          </w:tcPr>
          <w:p w:rsidR="00AE7180" w:rsidRDefault="00AE7180" w:rsidP="00A13D02">
            <w:pPr>
              <w:cnfStyle w:val="000000100000" w:firstRow="0" w:lastRow="0" w:firstColumn="0" w:lastColumn="0" w:oddVBand="0" w:evenVBand="0" w:oddHBand="1" w:evenHBand="0" w:firstRowFirstColumn="0" w:firstRowLastColumn="0" w:lastRowFirstColumn="0" w:lastRowLastColumn="0"/>
            </w:pPr>
          </w:p>
        </w:tc>
        <w:tc>
          <w:tcPr>
            <w:tcW w:w="585" w:type="pct"/>
          </w:tcPr>
          <w:p w:rsidR="00AE7180" w:rsidRDefault="00AE7180" w:rsidP="00A13D02">
            <w:pPr>
              <w:cnfStyle w:val="000000100000" w:firstRow="0" w:lastRow="0" w:firstColumn="0" w:lastColumn="0" w:oddVBand="0" w:evenVBand="0" w:oddHBand="1" w:evenHBand="0" w:firstRowFirstColumn="0" w:firstRowLastColumn="0" w:lastRowFirstColumn="0" w:lastRowLastColumn="0"/>
            </w:pPr>
          </w:p>
        </w:tc>
        <w:tc>
          <w:tcPr>
            <w:tcW w:w="552" w:type="pct"/>
          </w:tcPr>
          <w:p w:rsidR="00AE7180" w:rsidRDefault="00AE7180" w:rsidP="00A13D02">
            <w:pPr>
              <w:cnfStyle w:val="000000100000" w:firstRow="0" w:lastRow="0" w:firstColumn="0" w:lastColumn="0" w:oddVBand="0" w:evenVBand="0" w:oddHBand="1" w:evenHBand="0" w:firstRowFirstColumn="0" w:firstRowLastColumn="0" w:lastRowFirstColumn="0" w:lastRowLastColumn="0"/>
            </w:pPr>
          </w:p>
        </w:tc>
        <w:tc>
          <w:tcPr>
            <w:tcW w:w="552" w:type="pct"/>
          </w:tcPr>
          <w:p w:rsidR="00AE7180" w:rsidRDefault="00AE7180" w:rsidP="00A13D02">
            <w:pPr>
              <w:cnfStyle w:val="000000100000" w:firstRow="0" w:lastRow="0" w:firstColumn="0" w:lastColumn="0" w:oddVBand="0" w:evenVBand="0" w:oddHBand="1" w:evenHBand="0" w:firstRowFirstColumn="0" w:firstRowLastColumn="0" w:lastRowFirstColumn="0" w:lastRowLastColumn="0"/>
            </w:pPr>
          </w:p>
        </w:tc>
        <w:tc>
          <w:tcPr>
            <w:tcW w:w="553" w:type="pct"/>
          </w:tcPr>
          <w:p w:rsidR="00AE7180" w:rsidRDefault="00AE7180" w:rsidP="00A13D02">
            <w:pPr>
              <w:cnfStyle w:val="000000100000" w:firstRow="0" w:lastRow="0" w:firstColumn="0" w:lastColumn="0" w:oddVBand="0" w:evenVBand="0" w:oddHBand="1" w:evenHBand="0" w:firstRowFirstColumn="0" w:firstRowLastColumn="0" w:lastRowFirstColumn="0" w:lastRowLastColumn="0"/>
            </w:pPr>
          </w:p>
        </w:tc>
      </w:tr>
      <w:tr w:rsidR="00F27E9F" w:rsidTr="005C70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Pr>
          <w:p w:rsidR="00AE7180" w:rsidRPr="005C7052" w:rsidRDefault="00AE7180" w:rsidP="00A13D02">
            <w:pPr>
              <w:rPr>
                <w:rFonts w:asciiTheme="minorHAnsi" w:hAnsiTheme="minorHAnsi"/>
                <w:b w:val="0"/>
              </w:rPr>
            </w:pPr>
            <w:proofErr w:type="spellStart"/>
            <w:r w:rsidRPr="005C7052">
              <w:rPr>
                <w:rFonts w:asciiTheme="minorHAnsi" w:hAnsiTheme="minorHAnsi"/>
                <w:b w:val="0"/>
              </w:rPr>
              <w:t>Kavango</w:t>
            </w:r>
            <w:proofErr w:type="spellEnd"/>
            <w:r w:rsidRPr="005C7052">
              <w:rPr>
                <w:rFonts w:asciiTheme="minorHAnsi" w:hAnsiTheme="minorHAnsi"/>
                <w:b w:val="0"/>
              </w:rPr>
              <w:t xml:space="preserve"> Zambezi</w:t>
            </w:r>
          </w:p>
        </w:tc>
        <w:tc>
          <w:tcPr>
            <w:tcW w:w="551" w:type="pct"/>
          </w:tcPr>
          <w:p w:rsidR="00AE7180" w:rsidRDefault="00AE7180" w:rsidP="00A13D02">
            <w:pPr>
              <w:cnfStyle w:val="000000010000" w:firstRow="0" w:lastRow="0" w:firstColumn="0" w:lastColumn="0" w:oddVBand="0" w:evenVBand="0" w:oddHBand="0" w:evenHBand="1" w:firstRowFirstColumn="0" w:firstRowLastColumn="0" w:lastRowFirstColumn="0" w:lastRowLastColumn="0"/>
            </w:pPr>
          </w:p>
        </w:tc>
        <w:tc>
          <w:tcPr>
            <w:tcW w:w="551" w:type="pct"/>
          </w:tcPr>
          <w:p w:rsidR="00AE7180" w:rsidRDefault="00AE7180" w:rsidP="00AE7180">
            <w:pPr>
              <w:cnfStyle w:val="000000010000" w:firstRow="0" w:lastRow="0" w:firstColumn="0" w:lastColumn="0" w:oddVBand="0" w:evenVBand="0" w:oddHBand="0" w:evenHBand="1" w:firstRowFirstColumn="0" w:firstRowLastColumn="0" w:lastRowFirstColumn="0" w:lastRowLastColumn="0"/>
            </w:pPr>
          </w:p>
        </w:tc>
        <w:tc>
          <w:tcPr>
            <w:tcW w:w="551" w:type="pct"/>
          </w:tcPr>
          <w:p w:rsidR="00AE7180" w:rsidRDefault="00AE7180" w:rsidP="00A13D02">
            <w:pPr>
              <w:cnfStyle w:val="000000010000" w:firstRow="0" w:lastRow="0" w:firstColumn="0" w:lastColumn="0" w:oddVBand="0" w:evenVBand="0" w:oddHBand="0" w:evenHBand="1" w:firstRowFirstColumn="0" w:firstRowLastColumn="0" w:lastRowFirstColumn="0" w:lastRowLastColumn="0"/>
            </w:pPr>
          </w:p>
        </w:tc>
        <w:tc>
          <w:tcPr>
            <w:tcW w:w="552" w:type="pct"/>
          </w:tcPr>
          <w:p w:rsidR="00AE7180" w:rsidRDefault="00AE7180" w:rsidP="00A13D02">
            <w:pPr>
              <w:cnfStyle w:val="000000010000" w:firstRow="0" w:lastRow="0" w:firstColumn="0" w:lastColumn="0" w:oddVBand="0" w:evenVBand="0" w:oddHBand="0" w:evenHBand="1" w:firstRowFirstColumn="0" w:firstRowLastColumn="0" w:lastRowFirstColumn="0" w:lastRowLastColumn="0"/>
            </w:pPr>
          </w:p>
        </w:tc>
        <w:tc>
          <w:tcPr>
            <w:tcW w:w="585" w:type="pct"/>
          </w:tcPr>
          <w:p w:rsidR="00AE7180" w:rsidRDefault="00AE7180" w:rsidP="00A13D02">
            <w:pPr>
              <w:cnfStyle w:val="000000010000" w:firstRow="0" w:lastRow="0" w:firstColumn="0" w:lastColumn="0" w:oddVBand="0" w:evenVBand="0" w:oddHBand="0" w:evenHBand="1" w:firstRowFirstColumn="0" w:firstRowLastColumn="0" w:lastRowFirstColumn="0" w:lastRowLastColumn="0"/>
            </w:pPr>
          </w:p>
        </w:tc>
        <w:tc>
          <w:tcPr>
            <w:tcW w:w="552" w:type="pct"/>
          </w:tcPr>
          <w:p w:rsidR="00AE7180" w:rsidRDefault="00AE7180" w:rsidP="00A13D02">
            <w:pPr>
              <w:cnfStyle w:val="000000010000" w:firstRow="0" w:lastRow="0" w:firstColumn="0" w:lastColumn="0" w:oddVBand="0" w:evenVBand="0" w:oddHBand="0" w:evenHBand="1" w:firstRowFirstColumn="0" w:firstRowLastColumn="0" w:lastRowFirstColumn="0" w:lastRowLastColumn="0"/>
            </w:pPr>
          </w:p>
        </w:tc>
        <w:tc>
          <w:tcPr>
            <w:tcW w:w="552" w:type="pct"/>
          </w:tcPr>
          <w:p w:rsidR="00AE7180" w:rsidRDefault="00AE7180" w:rsidP="00A13D02">
            <w:pPr>
              <w:cnfStyle w:val="000000010000" w:firstRow="0" w:lastRow="0" w:firstColumn="0" w:lastColumn="0" w:oddVBand="0" w:evenVBand="0" w:oddHBand="0" w:evenHBand="1" w:firstRowFirstColumn="0" w:firstRowLastColumn="0" w:lastRowFirstColumn="0" w:lastRowLastColumn="0"/>
            </w:pPr>
          </w:p>
        </w:tc>
        <w:tc>
          <w:tcPr>
            <w:tcW w:w="553" w:type="pct"/>
          </w:tcPr>
          <w:p w:rsidR="00AE7180" w:rsidRDefault="00AE7180" w:rsidP="00A13D02">
            <w:pPr>
              <w:cnfStyle w:val="000000010000" w:firstRow="0" w:lastRow="0" w:firstColumn="0" w:lastColumn="0" w:oddVBand="0" w:evenVBand="0" w:oddHBand="0" w:evenHBand="1" w:firstRowFirstColumn="0" w:firstRowLastColumn="0" w:lastRowFirstColumn="0" w:lastRowLastColumn="0"/>
            </w:pPr>
          </w:p>
        </w:tc>
      </w:tr>
      <w:tr w:rsidR="00F27E9F" w:rsidTr="005C7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Pr>
          <w:p w:rsidR="00AE7180" w:rsidRPr="005C7052" w:rsidRDefault="00AE7180" w:rsidP="00A13D02">
            <w:pPr>
              <w:rPr>
                <w:rFonts w:asciiTheme="minorHAnsi" w:hAnsiTheme="minorHAnsi"/>
                <w:b w:val="0"/>
              </w:rPr>
            </w:pPr>
            <w:r w:rsidRPr="005C7052">
              <w:rPr>
                <w:rFonts w:asciiTheme="minorHAnsi" w:hAnsiTheme="minorHAnsi"/>
                <w:b w:val="0"/>
              </w:rPr>
              <w:t xml:space="preserve">Lower Zambezi - </w:t>
            </w:r>
            <w:proofErr w:type="spellStart"/>
            <w:r w:rsidRPr="005C7052">
              <w:rPr>
                <w:rFonts w:asciiTheme="minorHAnsi" w:hAnsiTheme="minorHAnsi"/>
                <w:b w:val="0"/>
              </w:rPr>
              <w:t>Mana</w:t>
            </w:r>
            <w:proofErr w:type="spellEnd"/>
            <w:r w:rsidRPr="005C7052">
              <w:rPr>
                <w:rFonts w:asciiTheme="minorHAnsi" w:hAnsiTheme="minorHAnsi"/>
                <w:b w:val="0"/>
              </w:rPr>
              <w:t xml:space="preserve"> Pools</w:t>
            </w:r>
          </w:p>
        </w:tc>
        <w:tc>
          <w:tcPr>
            <w:tcW w:w="551" w:type="pct"/>
          </w:tcPr>
          <w:p w:rsidR="00AE7180" w:rsidRDefault="00AE7180" w:rsidP="00A13D02">
            <w:pPr>
              <w:cnfStyle w:val="000000100000" w:firstRow="0" w:lastRow="0" w:firstColumn="0" w:lastColumn="0" w:oddVBand="0" w:evenVBand="0" w:oddHBand="1" w:evenHBand="0" w:firstRowFirstColumn="0" w:firstRowLastColumn="0" w:lastRowFirstColumn="0" w:lastRowLastColumn="0"/>
            </w:pPr>
          </w:p>
        </w:tc>
        <w:tc>
          <w:tcPr>
            <w:tcW w:w="551" w:type="pct"/>
          </w:tcPr>
          <w:p w:rsidR="00AE7180" w:rsidRDefault="00AE7180" w:rsidP="00AE7180">
            <w:pPr>
              <w:cnfStyle w:val="000000100000" w:firstRow="0" w:lastRow="0" w:firstColumn="0" w:lastColumn="0" w:oddVBand="0" w:evenVBand="0" w:oddHBand="1" w:evenHBand="0" w:firstRowFirstColumn="0" w:firstRowLastColumn="0" w:lastRowFirstColumn="0" w:lastRowLastColumn="0"/>
            </w:pPr>
          </w:p>
        </w:tc>
        <w:tc>
          <w:tcPr>
            <w:tcW w:w="551" w:type="pct"/>
          </w:tcPr>
          <w:p w:rsidR="00AE7180" w:rsidRDefault="00AE7180" w:rsidP="00A13D02">
            <w:pPr>
              <w:cnfStyle w:val="000000100000" w:firstRow="0" w:lastRow="0" w:firstColumn="0" w:lastColumn="0" w:oddVBand="0" w:evenVBand="0" w:oddHBand="1" w:evenHBand="0" w:firstRowFirstColumn="0" w:firstRowLastColumn="0" w:lastRowFirstColumn="0" w:lastRowLastColumn="0"/>
            </w:pPr>
          </w:p>
        </w:tc>
        <w:tc>
          <w:tcPr>
            <w:tcW w:w="552" w:type="pct"/>
          </w:tcPr>
          <w:p w:rsidR="00AE7180" w:rsidRDefault="00AE7180" w:rsidP="00A13D02">
            <w:pPr>
              <w:cnfStyle w:val="000000100000" w:firstRow="0" w:lastRow="0" w:firstColumn="0" w:lastColumn="0" w:oddVBand="0" w:evenVBand="0" w:oddHBand="1" w:evenHBand="0" w:firstRowFirstColumn="0" w:firstRowLastColumn="0" w:lastRowFirstColumn="0" w:lastRowLastColumn="0"/>
            </w:pPr>
          </w:p>
        </w:tc>
        <w:tc>
          <w:tcPr>
            <w:tcW w:w="585" w:type="pct"/>
          </w:tcPr>
          <w:p w:rsidR="00AE7180" w:rsidRDefault="00AE7180" w:rsidP="00A13D02">
            <w:pPr>
              <w:cnfStyle w:val="000000100000" w:firstRow="0" w:lastRow="0" w:firstColumn="0" w:lastColumn="0" w:oddVBand="0" w:evenVBand="0" w:oddHBand="1" w:evenHBand="0" w:firstRowFirstColumn="0" w:firstRowLastColumn="0" w:lastRowFirstColumn="0" w:lastRowLastColumn="0"/>
            </w:pPr>
          </w:p>
        </w:tc>
        <w:tc>
          <w:tcPr>
            <w:tcW w:w="552" w:type="pct"/>
          </w:tcPr>
          <w:p w:rsidR="00AE7180" w:rsidRDefault="00AE7180" w:rsidP="00A13D02">
            <w:pPr>
              <w:cnfStyle w:val="000000100000" w:firstRow="0" w:lastRow="0" w:firstColumn="0" w:lastColumn="0" w:oddVBand="0" w:evenVBand="0" w:oddHBand="1" w:evenHBand="0" w:firstRowFirstColumn="0" w:firstRowLastColumn="0" w:lastRowFirstColumn="0" w:lastRowLastColumn="0"/>
            </w:pPr>
          </w:p>
        </w:tc>
        <w:tc>
          <w:tcPr>
            <w:tcW w:w="552" w:type="pct"/>
          </w:tcPr>
          <w:p w:rsidR="00AE7180" w:rsidRDefault="00AE7180" w:rsidP="00A13D02">
            <w:pPr>
              <w:cnfStyle w:val="000000100000" w:firstRow="0" w:lastRow="0" w:firstColumn="0" w:lastColumn="0" w:oddVBand="0" w:evenVBand="0" w:oddHBand="1" w:evenHBand="0" w:firstRowFirstColumn="0" w:firstRowLastColumn="0" w:lastRowFirstColumn="0" w:lastRowLastColumn="0"/>
            </w:pPr>
          </w:p>
        </w:tc>
        <w:tc>
          <w:tcPr>
            <w:tcW w:w="553" w:type="pct"/>
          </w:tcPr>
          <w:p w:rsidR="00AE7180" w:rsidRDefault="00AE7180" w:rsidP="00A13D02">
            <w:pPr>
              <w:cnfStyle w:val="000000100000" w:firstRow="0" w:lastRow="0" w:firstColumn="0" w:lastColumn="0" w:oddVBand="0" w:evenVBand="0" w:oddHBand="1" w:evenHBand="0" w:firstRowFirstColumn="0" w:firstRowLastColumn="0" w:lastRowFirstColumn="0" w:lastRowLastColumn="0"/>
            </w:pPr>
          </w:p>
        </w:tc>
      </w:tr>
      <w:tr w:rsidR="00F27E9F" w:rsidTr="005C70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Pr>
          <w:p w:rsidR="00AE7180" w:rsidRPr="005C7052" w:rsidRDefault="00AE7180" w:rsidP="00A13D02">
            <w:pPr>
              <w:rPr>
                <w:rFonts w:asciiTheme="minorHAnsi" w:hAnsiTheme="minorHAnsi"/>
                <w:b w:val="0"/>
              </w:rPr>
            </w:pPr>
            <w:proofErr w:type="spellStart"/>
            <w:r w:rsidRPr="005C7052">
              <w:rPr>
                <w:rFonts w:asciiTheme="minorHAnsi" w:hAnsiTheme="minorHAnsi"/>
                <w:b w:val="0"/>
              </w:rPr>
              <w:t>Liuwa</w:t>
            </w:r>
            <w:proofErr w:type="spellEnd"/>
            <w:r w:rsidRPr="005C7052">
              <w:rPr>
                <w:rFonts w:asciiTheme="minorHAnsi" w:hAnsiTheme="minorHAnsi"/>
                <w:b w:val="0"/>
              </w:rPr>
              <w:t xml:space="preserve"> Plains - </w:t>
            </w:r>
            <w:proofErr w:type="spellStart"/>
            <w:r w:rsidRPr="005C7052">
              <w:rPr>
                <w:rFonts w:asciiTheme="minorHAnsi" w:hAnsiTheme="minorHAnsi"/>
                <w:b w:val="0"/>
              </w:rPr>
              <w:t>Mussuma</w:t>
            </w:r>
            <w:proofErr w:type="spellEnd"/>
          </w:p>
        </w:tc>
        <w:tc>
          <w:tcPr>
            <w:tcW w:w="551" w:type="pct"/>
          </w:tcPr>
          <w:p w:rsidR="00AE7180" w:rsidRDefault="00AE7180" w:rsidP="00A13D02">
            <w:pPr>
              <w:cnfStyle w:val="000000010000" w:firstRow="0" w:lastRow="0" w:firstColumn="0" w:lastColumn="0" w:oddVBand="0" w:evenVBand="0" w:oddHBand="0" w:evenHBand="1" w:firstRowFirstColumn="0" w:firstRowLastColumn="0" w:lastRowFirstColumn="0" w:lastRowLastColumn="0"/>
            </w:pPr>
          </w:p>
        </w:tc>
        <w:tc>
          <w:tcPr>
            <w:tcW w:w="551" w:type="pct"/>
          </w:tcPr>
          <w:p w:rsidR="00AE7180" w:rsidRDefault="00AE7180" w:rsidP="00AE7180">
            <w:pPr>
              <w:cnfStyle w:val="000000010000" w:firstRow="0" w:lastRow="0" w:firstColumn="0" w:lastColumn="0" w:oddVBand="0" w:evenVBand="0" w:oddHBand="0" w:evenHBand="1" w:firstRowFirstColumn="0" w:firstRowLastColumn="0" w:lastRowFirstColumn="0" w:lastRowLastColumn="0"/>
            </w:pPr>
          </w:p>
        </w:tc>
        <w:tc>
          <w:tcPr>
            <w:tcW w:w="551" w:type="pct"/>
          </w:tcPr>
          <w:p w:rsidR="00AE7180" w:rsidRDefault="00AE7180" w:rsidP="00A13D02">
            <w:pPr>
              <w:cnfStyle w:val="000000010000" w:firstRow="0" w:lastRow="0" w:firstColumn="0" w:lastColumn="0" w:oddVBand="0" w:evenVBand="0" w:oddHBand="0" w:evenHBand="1" w:firstRowFirstColumn="0" w:firstRowLastColumn="0" w:lastRowFirstColumn="0" w:lastRowLastColumn="0"/>
            </w:pPr>
          </w:p>
        </w:tc>
        <w:tc>
          <w:tcPr>
            <w:tcW w:w="552" w:type="pct"/>
          </w:tcPr>
          <w:p w:rsidR="00AE7180" w:rsidRDefault="00AE7180" w:rsidP="00A13D02">
            <w:pPr>
              <w:cnfStyle w:val="000000010000" w:firstRow="0" w:lastRow="0" w:firstColumn="0" w:lastColumn="0" w:oddVBand="0" w:evenVBand="0" w:oddHBand="0" w:evenHBand="1" w:firstRowFirstColumn="0" w:firstRowLastColumn="0" w:lastRowFirstColumn="0" w:lastRowLastColumn="0"/>
            </w:pPr>
          </w:p>
        </w:tc>
        <w:tc>
          <w:tcPr>
            <w:tcW w:w="585" w:type="pct"/>
          </w:tcPr>
          <w:p w:rsidR="00AE7180" w:rsidRDefault="00AE7180" w:rsidP="00A13D02">
            <w:pPr>
              <w:cnfStyle w:val="000000010000" w:firstRow="0" w:lastRow="0" w:firstColumn="0" w:lastColumn="0" w:oddVBand="0" w:evenVBand="0" w:oddHBand="0" w:evenHBand="1" w:firstRowFirstColumn="0" w:firstRowLastColumn="0" w:lastRowFirstColumn="0" w:lastRowLastColumn="0"/>
            </w:pPr>
          </w:p>
        </w:tc>
        <w:tc>
          <w:tcPr>
            <w:tcW w:w="552" w:type="pct"/>
          </w:tcPr>
          <w:p w:rsidR="00AE7180" w:rsidRDefault="00AE7180" w:rsidP="00A13D02">
            <w:pPr>
              <w:cnfStyle w:val="000000010000" w:firstRow="0" w:lastRow="0" w:firstColumn="0" w:lastColumn="0" w:oddVBand="0" w:evenVBand="0" w:oddHBand="0" w:evenHBand="1" w:firstRowFirstColumn="0" w:firstRowLastColumn="0" w:lastRowFirstColumn="0" w:lastRowLastColumn="0"/>
            </w:pPr>
          </w:p>
        </w:tc>
        <w:tc>
          <w:tcPr>
            <w:tcW w:w="552" w:type="pct"/>
          </w:tcPr>
          <w:p w:rsidR="00AE7180" w:rsidRDefault="00AE7180" w:rsidP="00A13D02">
            <w:pPr>
              <w:cnfStyle w:val="000000010000" w:firstRow="0" w:lastRow="0" w:firstColumn="0" w:lastColumn="0" w:oddVBand="0" w:evenVBand="0" w:oddHBand="0" w:evenHBand="1" w:firstRowFirstColumn="0" w:firstRowLastColumn="0" w:lastRowFirstColumn="0" w:lastRowLastColumn="0"/>
            </w:pPr>
          </w:p>
        </w:tc>
        <w:tc>
          <w:tcPr>
            <w:tcW w:w="553" w:type="pct"/>
          </w:tcPr>
          <w:p w:rsidR="00AE7180" w:rsidRDefault="00AE7180" w:rsidP="00A13D02">
            <w:pPr>
              <w:cnfStyle w:val="000000010000" w:firstRow="0" w:lastRow="0" w:firstColumn="0" w:lastColumn="0" w:oddVBand="0" w:evenVBand="0" w:oddHBand="0" w:evenHBand="1" w:firstRowFirstColumn="0" w:firstRowLastColumn="0" w:lastRowFirstColumn="0" w:lastRowLastColumn="0"/>
            </w:pPr>
          </w:p>
        </w:tc>
      </w:tr>
      <w:tr w:rsidR="00F27E9F" w:rsidTr="005C7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Pr>
          <w:p w:rsidR="005C7052" w:rsidRPr="005C7052" w:rsidRDefault="005C7052" w:rsidP="00A13D02">
            <w:pPr>
              <w:rPr>
                <w:rFonts w:asciiTheme="minorHAnsi" w:hAnsiTheme="minorHAnsi"/>
                <w:b w:val="0"/>
              </w:rPr>
            </w:pPr>
            <w:proofErr w:type="spellStart"/>
            <w:r w:rsidRPr="005C7052">
              <w:rPr>
                <w:rFonts w:asciiTheme="minorHAnsi" w:hAnsiTheme="minorHAnsi"/>
                <w:b w:val="0"/>
              </w:rPr>
              <w:t>Selous</w:t>
            </w:r>
            <w:proofErr w:type="spellEnd"/>
            <w:r w:rsidRPr="005C7052">
              <w:rPr>
                <w:rFonts w:asciiTheme="minorHAnsi" w:hAnsiTheme="minorHAnsi"/>
                <w:b w:val="0"/>
              </w:rPr>
              <w:t xml:space="preserve"> and Niassa</w:t>
            </w:r>
          </w:p>
        </w:tc>
        <w:tc>
          <w:tcPr>
            <w:tcW w:w="551" w:type="pct"/>
          </w:tcPr>
          <w:p w:rsidR="005C7052" w:rsidRDefault="005C7052" w:rsidP="00A13D02">
            <w:pPr>
              <w:cnfStyle w:val="000000100000" w:firstRow="0" w:lastRow="0" w:firstColumn="0" w:lastColumn="0" w:oddVBand="0" w:evenVBand="0" w:oddHBand="1" w:evenHBand="0" w:firstRowFirstColumn="0" w:firstRowLastColumn="0" w:lastRowFirstColumn="0" w:lastRowLastColumn="0"/>
            </w:pPr>
          </w:p>
        </w:tc>
        <w:tc>
          <w:tcPr>
            <w:tcW w:w="551" w:type="pct"/>
          </w:tcPr>
          <w:p w:rsidR="005C7052" w:rsidRDefault="005C7052" w:rsidP="00AE7180">
            <w:pPr>
              <w:cnfStyle w:val="000000100000" w:firstRow="0" w:lastRow="0" w:firstColumn="0" w:lastColumn="0" w:oddVBand="0" w:evenVBand="0" w:oddHBand="1" w:evenHBand="0" w:firstRowFirstColumn="0" w:firstRowLastColumn="0" w:lastRowFirstColumn="0" w:lastRowLastColumn="0"/>
            </w:pPr>
          </w:p>
        </w:tc>
        <w:tc>
          <w:tcPr>
            <w:tcW w:w="551" w:type="pct"/>
          </w:tcPr>
          <w:p w:rsidR="005C7052" w:rsidRDefault="005C7052" w:rsidP="00A13D02">
            <w:pPr>
              <w:cnfStyle w:val="000000100000" w:firstRow="0" w:lastRow="0" w:firstColumn="0" w:lastColumn="0" w:oddVBand="0" w:evenVBand="0" w:oddHBand="1" w:evenHBand="0" w:firstRowFirstColumn="0" w:firstRowLastColumn="0" w:lastRowFirstColumn="0" w:lastRowLastColumn="0"/>
            </w:pPr>
          </w:p>
        </w:tc>
        <w:tc>
          <w:tcPr>
            <w:tcW w:w="552" w:type="pct"/>
          </w:tcPr>
          <w:p w:rsidR="005C7052" w:rsidRDefault="005C7052" w:rsidP="00A13D02">
            <w:pPr>
              <w:cnfStyle w:val="000000100000" w:firstRow="0" w:lastRow="0" w:firstColumn="0" w:lastColumn="0" w:oddVBand="0" w:evenVBand="0" w:oddHBand="1" w:evenHBand="0" w:firstRowFirstColumn="0" w:firstRowLastColumn="0" w:lastRowFirstColumn="0" w:lastRowLastColumn="0"/>
            </w:pPr>
          </w:p>
        </w:tc>
        <w:tc>
          <w:tcPr>
            <w:tcW w:w="585" w:type="pct"/>
          </w:tcPr>
          <w:p w:rsidR="005C7052" w:rsidRDefault="005C7052" w:rsidP="00A13D02">
            <w:pPr>
              <w:cnfStyle w:val="000000100000" w:firstRow="0" w:lastRow="0" w:firstColumn="0" w:lastColumn="0" w:oddVBand="0" w:evenVBand="0" w:oddHBand="1" w:evenHBand="0" w:firstRowFirstColumn="0" w:firstRowLastColumn="0" w:lastRowFirstColumn="0" w:lastRowLastColumn="0"/>
            </w:pPr>
          </w:p>
        </w:tc>
        <w:tc>
          <w:tcPr>
            <w:tcW w:w="552" w:type="pct"/>
          </w:tcPr>
          <w:p w:rsidR="005C7052" w:rsidRDefault="005C7052" w:rsidP="00A13D02">
            <w:pPr>
              <w:cnfStyle w:val="000000100000" w:firstRow="0" w:lastRow="0" w:firstColumn="0" w:lastColumn="0" w:oddVBand="0" w:evenVBand="0" w:oddHBand="1" w:evenHBand="0" w:firstRowFirstColumn="0" w:firstRowLastColumn="0" w:lastRowFirstColumn="0" w:lastRowLastColumn="0"/>
            </w:pPr>
          </w:p>
        </w:tc>
        <w:tc>
          <w:tcPr>
            <w:tcW w:w="552" w:type="pct"/>
          </w:tcPr>
          <w:p w:rsidR="005C7052" w:rsidRDefault="005C7052" w:rsidP="00A13D02">
            <w:pPr>
              <w:cnfStyle w:val="000000100000" w:firstRow="0" w:lastRow="0" w:firstColumn="0" w:lastColumn="0" w:oddVBand="0" w:evenVBand="0" w:oddHBand="1" w:evenHBand="0" w:firstRowFirstColumn="0" w:firstRowLastColumn="0" w:lastRowFirstColumn="0" w:lastRowLastColumn="0"/>
            </w:pPr>
          </w:p>
        </w:tc>
        <w:tc>
          <w:tcPr>
            <w:tcW w:w="553" w:type="pct"/>
          </w:tcPr>
          <w:p w:rsidR="005C7052" w:rsidRDefault="005C7052" w:rsidP="00A13D02">
            <w:pPr>
              <w:cnfStyle w:val="000000100000" w:firstRow="0" w:lastRow="0" w:firstColumn="0" w:lastColumn="0" w:oddVBand="0" w:evenVBand="0" w:oddHBand="1" w:evenHBand="0" w:firstRowFirstColumn="0" w:firstRowLastColumn="0" w:lastRowFirstColumn="0" w:lastRowLastColumn="0"/>
            </w:pPr>
          </w:p>
        </w:tc>
      </w:tr>
      <w:tr w:rsidR="005C7052" w:rsidTr="005C70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Pr>
          <w:p w:rsidR="005C7052" w:rsidRPr="005C7052" w:rsidRDefault="005C7052" w:rsidP="00A13D02">
            <w:pPr>
              <w:rPr>
                <w:rFonts w:asciiTheme="minorHAnsi" w:hAnsiTheme="minorHAnsi"/>
                <w:b w:val="0"/>
              </w:rPr>
            </w:pPr>
            <w:proofErr w:type="spellStart"/>
            <w:r w:rsidRPr="005C7052">
              <w:rPr>
                <w:rFonts w:asciiTheme="minorHAnsi" w:hAnsiTheme="minorHAnsi"/>
                <w:b w:val="0"/>
              </w:rPr>
              <w:t>Maiombe</w:t>
            </w:r>
            <w:proofErr w:type="spellEnd"/>
            <w:r w:rsidRPr="005C7052">
              <w:rPr>
                <w:rFonts w:asciiTheme="minorHAnsi" w:hAnsiTheme="minorHAnsi"/>
                <w:b w:val="0"/>
              </w:rPr>
              <w:t xml:space="preserve"> Forest</w:t>
            </w:r>
          </w:p>
        </w:tc>
        <w:tc>
          <w:tcPr>
            <w:tcW w:w="551" w:type="pct"/>
          </w:tcPr>
          <w:p w:rsidR="005C7052" w:rsidRDefault="005C7052" w:rsidP="00A13D02">
            <w:pPr>
              <w:cnfStyle w:val="000000010000" w:firstRow="0" w:lastRow="0" w:firstColumn="0" w:lastColumn="0" w:oddVBand="0" w:evenVBand="0" w:oddHBand="0" w:evenHBand="1" w:firstRowFirstColumn="0" w:firstRowLastColumn="0" w:lastRowFirstColumn="0" w:lastRowLastColumn="0"/>
            </w:pPr>
          </w:p>
        </w:tc>
        <w:tc>
          <w:tcPr>
            <w:tcW w:w="551" w:type="pct"/>
          </w:tcPr>
          <w:p w:rsidR="005C7052" w:rsidRDefault="005C7052" w:rsidP="00AE7180">
            <w:pPr>
              <w:cnfStyle w:val="000000010000" w:firstRow="0" w:lastRow="0" w:firstColumn="0" w:lastColumn="0" w:oddVBand="0" w:evenVBand="0" w:oddHBand="0" w:evenHBand="1" w:firstRowFirstColumn="0" w:firstRowLastColumn="0" w:lastRowFirstColumn="0" w:lastRowLastColumn="0"/>
            </w:pPr>
          </w:p>
        </w:tc>
        <w:tc>
          <w:tcPr>
            <w:tcW w:w="551" w:type="pct"/>
          </w:tcPr>
          <w:p w:rsidR="005C7052" w:rsidRDefault="005C7052" w:rsidP="00A13D02">
            <w:pPr>
              <w:cnfStyle w:val="000000010000" w:firstRow="0" w:lastRow="0" w:firstColumn="0" w:lastColumn="0" w:oddVBand="0" w:evenVBand="0" w:oddHBand="0" w:evenHBand="1" w:firstRowFirstColumn="0" w:firstRowLastColumn="0" w:lastRowFirstColumn="0" w:lastRowLastColumn="0"/>
            </w:pPr>
          </w:p>
        </w:tc>
        <w:tc>
          <w:tcPr>
            <w:tcW w:w="552" w:type="pct"/>
          </w:tcPr>
          <w:p w:rsidR="005C7052" w:rsidRDefault="005C7052" w:rsidP="00A13D02">
            <w:pPr>
              <w:cnfStyle w:val="000000010000" w:firstRow="0" w:lastRow="0" w:firstColumn="0" w:lastColumn="0" w:oddVBand="0" w:evenVBand="0" w:oddHBand="0" w:evenHBand="1" w:firstRowFirstColumn="0" w:firstRowLastColumn="0" w:lastRowFirstColumn="0" w:lastRowLastColumn="0"/>
            </w:pPr>
          </w:p>
        </w:tc>
        <w:tc>
          <w:tcPr>
            <w:tcW w:w="585" w:type="pct"/>
          </w:tcPr>
          <w:p w:rsidR="005C7052" w:rsidRDefault="005C7052" w:rsidP="00A13D02">
            <w:pPr>
              <w:cnfStyle w:val="000000010000" w:firstRow="0" w:lastRow="0" w:firstColumn="0" w:lastColumn="0" w:oddVBand="0" w:evenVBand="0" w:oddHBand="0" w:evenHBand="1" w:firstRowFirstColumn="0" w:firstRowLastColumn="0" w:lastRowFirstColumn="0" w:lastRowLastColumn="0"/>
            </w:pPr>
          </w:p>
        </w:tc>
        <w:tc>
          <w:tcPr>
            <w:tcW w:w="552" w:type="pct"/>
          </w:tcPr>
          <w:p w:rsidR="005C7052" w:rsidRDefault="005C7052" w:rsidP="00A13D02">
            <w:pPr>
              <w:cnfStyle w:val="000000010000" w:firstRow="0" w:lastRow="0" w:firstColumn="0" w:lastColumn="0" w:oddVBand="0" w:evenVBand="0" w:oddHBand="0" w:evenHBand="1" w:firstRowFirstColumn="0" w:firstRowLastColumn="0" w:lastRowFirstColumn="0" w:lastRowLastColumn="0"/>
            </w:pPr>
          </w:p>
        </w:tc>
        <w:tc>
          <w:tcPr>
            <w:tcW w:w="552" w:type="pct"/>
          </w:tcPr>
          <w:p w:rsidR="005C7052" w:rsidRDefault="005C7052" w:rsidP="00A13D02">
            <w:pPr>
              <w:cnfStyle w:val="000000010000" w:firstRow="0" w:lastRow="0" w:firstColumn="0" w:lastColumn="0" w:oddVBand="0" w:evenVBand="0" w:oddHBand="0" w:evenHBand="1" w:firstRowFirstColumn="0" w:firstRowLastColumn="0" w:lastRowFirstColumn="0" w:lastRowLastColumn="0"/>
            </w:pPr>
          </w:p>
        </w:tc>
        <w:tc>
          <w:tcPr>
            <w:tcW w:w="553" w:type="pct"/>
          </w:tcPr>
          <w:p w:rsidR="005C7052" w:rsidRDefault="005C7052" w:rsidP="00A13D02">
            <w:pPr>
              <w:cnfStyle w:val="000000010000" w:firstRow="0" w:lastRow="0" w:firstColumn="0" w:lastColumn="0" w:oddVBand="0" w:evenVBand="0" w:oddHBand="0" w:evenHBand="1" w:firstRowFirstColumn="0" w:firstRowLastColumn="0" w:lastRowFirstColumn="0" w:lastRowLastColumn="0"/>
            </w:pPr>
          </w:p>
        </w:tc>
      </w:tr>
    </w:tbl>
    <w:p w:rsidR="00AE7180" w:rsidRDefault="00AE7180" w:rsidP="00A13D02"/>
    <w:p w:rsidR="00AE7180" w:rsidRDefault="00AE7180" w:rsidP="00A13D02">
      <w:pPr>
        <w:sectPr w:rsidR="00AE7180" w:rsidSect="00AE7180">
          <w:pgSz w:w="16838" w:h="11906" w:orient="landscape"/>
          <w:pgMar w:top="1440" w:right="1440" w:bottom="1440" w:left="1440" w:header="708" w:footer="708" w:gutter="0"/>
          <w:cols w:space="708"/>
          <w:docGrid w:linePitch="360"/>
        </w:sectPr>
      </w:pPr>
    </w:p>
    <w:p w:rsidR="00EE2EFA" w:rsidRDefault="005C7052" w:rsidP="005C7052">
      <w:pPr>
        <w:pStyle w:val="Heading2"/>
      </w:pPr>
      <w:r>
        <w:lastRenderedPageBreak/>
        <w:t>Group D: The legal and policy framework</w:t>
      </w:r>
    </w:p>
    <w:p w:rsidR="005C7052" w:rsidRDefault="00CC488C" w:rsidP="005C7052">
      <w:r>
        <w:t xml:space="preserve">Recent work by a GIZ intern, Ms Antonija Marusic, provides an overview of the legal and policy framework for TFCA work in the SADC region as pasted below.  This group is required to critically review this brief overview, identify any gaps, and make recommendations as to how these can be filled.  Note must be made of the extent to which SADC member states have been able to </w:t>
      </w:r>
      <w:r w:rsidR="00476A39">
        <w:t>integrate relevant conventions into their national legislation, and ensure that other relevant international agreements that relate to aspects such as the sustainable utilisation / conservation of marine resources are included here.</w:t>
      </w:r>
    </w:p>
    <w:p w:rsidR="00476A39" w:rsidRPr="00476A39" w:rsidRDefault="00476A39" w:rsidP="00476A39">
      <w:pPr>
        <w:numPr>
          <w:ilvl w:val="0"/>
          <w:numId w:val="11"/>
        </w:numPr>
        <w:spacing w:after="0" w:line="240" w:lineRule="auto"/>
        <w:contextualSpacing/>
        <w:outlineLvl w:val="1"/>
        <w:rPr>
          <w:rFonts w:ascii="Calibri" w:eastAsia="Times New Roman" w:hAnsi="Calibri" w:cs="Times New Roman"/>
          <w:lang w:val="en-GB" w:bidi="de-DE"/>
        </w:rPr>
      </w:pPr>
      <w:r w:rsidRPr="00476A39">
        <w:rPr>
          <w:rFonts w:ascii="Calibri" w:eastAsia="Times New Roman" w:hAnsi="Calibri" w:cs="Times New Roman"/>
          <w:b/>
          <w:lang w:val="en-GB" w:bidi="de-DE"/>
        </w:rPr>
        <w:t>SADC</w:t>
      </w:r>
    </w:p>
    <w:p w:rsidR="00476A39" w:rsidRPr="00476A39" w:rsidRDefault="00476A39" w:rsidP="00476A39">
      <w:pPr>
        <w:numPr>
          <w:ilvl w:val="0"/>
          <w:numId w:val="12"/>
        </w:numPr>
        <w:spacing w:before="240" w:after="0" w:line="240" w:lineRule="auto"/>
        <w:contextualSpacing/>
        <w:jc w:val="both"/>
        <w:rPr>
          <w:rFonts w:ascii="Calibri" w:eastAsia="Times New Roman" w:hAnsi="Calibri" w:cs="Times New Roman"/>
          <w:b/>
          <w:lang w:val="en-GB" w:bidi="de-DE"/>
        </w:rPr>
      </w:pPr>
      <w:r w:rsidRPr="00476A39">
        <w:rPr>
          <w:rFonts w:ascii="Calibri" w:eastAsia="Times New Roman" w:hAnsi="Calibri" w:cs="Times New Roman"/>
          <w:b/>
          <w:lang w:val="en-GB" w:bidi="de-DE"/>
        </w:rPr>
        <w:t>Regional Indicative Strategic Development Plan (RISDP)</w:t>
      </w:r>
    </w:p>
    <w:p w:rsidR="00476A39" w:rsidRPr="00476A39" w:rsidRDefault="00476A39" w:rsidP="00476A39">
      <w:pPr>
        <w:spacing w:before="240"/>
        <w:jc w:val="both"/>
        <w:rPr>
          <w:rFonts w:ascii="Calibri" w:eastAsia="Times New Roman" w:hAnsi="Calibri" w:cs="Times New Roman"/>
          <w:lang w:val="en-GB" w:bidi="de-DE"/>
        </w:rPr>
      </w:pPr>
      <w:r w:rsidRPr="00476A39">
        <w:rPr>
          <w:rFonts w:ascii="Calibri" w:eastAsia="Times New Roman" w:hAnsi="Calibri" w:cs="Times New Roman"/>
          <w:lang w:val="en-GB" w:bidi="de-DE"/>
        </w:rPr>
        <w:t xml:space="preserve">The Regional Indicative Strategic Development Plan (RISDP) of 2003 provides strategic direction to SADC programmes, projects and activities. </w:t>
      </w:r>
    </w:p>
    <w:p w:rsidR="00476A39" w:rsidRPr="00476A39" w:rsidRDefault="00476A39" w:rsidP="00476A39">
      <w:pPr>
        <w:spacing w:before="240"/>
        <w:contextualSpacing/>
        <w:jc w:val="both"/>
        <w:rPr>
          <w:rFonts w:ascii="Calibri" w:eastAsia="Times New Roman" w:hAnsi="Calibri" w:cs="Times New Roman"/>
          <w:lang w:val="en-GB" w:bidi="de-DE"/>
        </w:rPr>
      </w:pPr>
    </w:p>
    <w:p w:rsidR="00476A39" w:rsidRPr="00476A39" w:rsidRDefault="00476A39" w:rsidP="00476A39">
      <w:pPr>
        <w:spacing w:before="240"/>
        <w:contextualSpacing/>
        <w:jc w:val="both"/>
        <w:rPr>
          <w:rFonts w:ascii="Calibri" w:eastAsia="Times New Roman" w:hAnsi="Calibri" w:cs="Times New Roman"/>
          <w:lang w:val="en-GB" w:bidi="de-DE"/>
        </w:rPr>
      </w:pPr>
      <w:r w:rsidRPr="00476A39">
        <w:rPr>
          <w:rFonts w:ascii="Calibri" w:eastAsia="Times New Roman" w:hAnsi="Calibri" w:cs="Times New Roman"/>
          <w:lang w:val="en-GB" w:bidi="de-DE"/>
        </w:rPr>
        <w:t xml:space="preserve">Conservation, management and use of natural resources are listed in the RISDP as a major component in Chapter 4 - Priority Intervention Areas – in the chapters on “Environment and Sustainable Development” as well as “Sustainable Food Security”. </w:t>
      </w:r>
    </w:p>
    <w:p w:rsidR="00476A39" w:rsidRPr="00476A39" w:rsidRDefault="00476A39" w:rsidP="00476A39">
      <w:pPr>
        <w:spacing w:before="240"/>
        <w:contextualSpacing/>
        <w:jc w:val="both"/>
        <w:rPr>
          <w:rFonts w:ascii="Calibri" w:eastAsia="Times New Roman" w:hAnsi="Calibri" w:cs="Times New Roman"/>
          <w:lang w:val="en-GB" w:bidi="de-DE"/>
        </w:rPr>
      </w:pPr>
    </w:p>
    <w:p w:rsidR="00476A39" w:rsidRPr="00476A39" w:rsidRDefault="00476A39" w:rsidP="00476A39">
      <w:pPr>
        <w:spacing w:before="240"/>
        <w:contextualSpacing/>
        <w:jc w:val="both"/>
        <w:rPr>
          <w:rFonts w:ascii="Calibri" w:eastAsia="Times New Roman" w:hAnsi="Calibri" w:cs="Times New Roman"/>
          <w:lang w:val="en-GB" w:bidi="de-DE"/>
        </w:rPr>
      </w:pPr>
      <w:r w:rsidRPr="00476A39">
        <w:rPr>
          <w:rFonts w:ascii="Calibri" w:eastAsia="Times New Roman" w:hAnsi="Calibri" w:cs="Times New Roman"/>
          <w:lang w:val="en-GB" w:bidi="de-DE"/>
        </w:rPr>
        <w:t xml:space="preserve">One of the strategies in the chapter on “Environment and Sustainable Development” is the development and implementation of </w:t>
      </w:r>
      <w:r w:rsidRPr="00476A39">
        <w:rPr>
          <w:rFonts w:ascii="Calibri" w:eastAsia="Times New Roman" w:hAnsi="Calibri" w:cs="Times New Roman"/>
          <w:i/>
          <w:iCs/>
          <w:color w:val="000000"/>
          <w:lang w:val="en-GB" w:eastAsia="x-none" w:bidi="de-DE"/>
        </w:rPr>
        <w:t>“programmes on environment and natural resources management, including transboundary ecosystems”</w:t>
      </w:r>
      <w:r w:rsidRPr="00476A39">
        <w:rPr>
          <w:rFonts w:ascii="Calibri" w:eastAsia="Times New Roman" w:hAnsi="Calibri" w:cs="Times New Roman"/>
          <w:lang w:val="en-GB" w:bidi="de-DE"/>
        </w:rPr>
        <w:t xml:space="preserve"> (4.7.4.)</w:t>
      </w:r>
    </w:p>
    <w:p w:rsidR="00476A39" w:rsidRPr="00476A39" w:rsidRDefault="00476A39" w:rsidP="00476A39">
      <w:pPr>
        <w:spacing w:before="240"/>
        <w:contextualSpacing/>
        <w:jc w:val="both"/>
        <w:rPr>
          <w:rFonts w:ascii="Calibri" w:eastAsia="Times New Roman" w:hAnsi="Calibri" w:cs="Times New Roman"/>
          <w:lang w:val="en-GB" w:bidi="de-DE"/>
        </w:rPr>
      </w:pPr>
    </w:p>
    <w:p w:rsidR="00476A39" w:rsidRPr="00476A39" w:rsidRDefault="00476A39" w:rsidP="00476A39">
      <w:pPr>
        <w:spacing w:before="240"/>
        <w:contextualSpacing/>
        <w:jc w:val="both"/>
        <w:rPr>
          <w:rFonts w:ascii="Calibri" w:eastAsia="Times New Roman" w:hAnsi="Calibri" w:cs="Times New Roman"/>
          <w:lang w:val="en-GB" w:bidi="de-DE"/>
        </w:rPr>
      </w:pPr>
      <w:r w:rsidRPr="00476A39">
        <w:rPr>
          <w:rFonts w:ascii="Calibri" w:eastAsia="Times New Roman" w:hAnsi="Calibri" w:cs="Times New Roman"/>
          <w:i/>
          <w:iCs/>
          <w:color w:val="000000"/>
          <w:lang w:val="en-GB" w:eastAsia="x-none" w:bidi="de-DE"/>
        </w:rPr>
        <w:t xml:space="preserve">“Protecting the environment and promoting sustainable use and management of natural resources” </w:t>
      </w:r>
      <w:r w:rsidRPr="00476A39">
        <w:rPr>
          <w:rFonts w:ascii="Calibri" w:eastAsia="Times New Roman" w:hAnsi="Calibri" w:cs="Times New Roman"/>
          <w:lang w:val="en-GB" w:bidi="de-DE"/>
        </w:rPr>
        <w:t xml:space="preserve">is also listed as a strategy in the second relevant chapter on food security (4.12.4). Implementation of said strategy shall be accomplished through – among other institutional frameworks – the </w:t>
      </w:r>
      <w:r w:rsidRPr="00476A39">
        <w:rPr>
          <w:rFonts w:ascii="Calibri" w:eastAsia="Times New Roman" w:hAnsi="Calibri" w:cs="Times New Roman"/>
          <w:i/>
          <w:iCs/>
          <w:color w:val="000000"/>
          <w:lang w:val="en-GB" w:eastAsia="x-none" w:bidi="de-DE"/>
        </w:rPr>
        <w:t>“development of relevant legal instrument to foster cooperation in Food Security, Agriculture and Natural Resources”</w:t>
      </w:r>
      <w:r w:rsidRPr="00476A39">
        <w:rPr>
          <w:rFonts w:ascii="Calibri" w:eastAsia="Times New Roman" w:hAnsi="Calibri" w:cs="Times New Roman"/>
          <w:lang w:val="en-GB" w:bidi="de-DE"/>
        </w:rPr>
        <w:t xml:space="preserve"> (4.12.8).</w:t>
      </w:r>
    </w:p>
    <w:p w:rsidR="00476A39" w:rsidRPr="00476A39" w:rsidRDefault="00476A39" w:rsidP="00476A39">
      <w:pPr>
        <w:spacing w:before="240"/>
        <w:contextualSpacing/>
        <w:jc w:val="both"/>
        <w:rPr>
          <w:rFonts w:ascii="Calibri" w:eastAsia="Times New Roman" w:hAnsi="Calibri" w:cs="Times New Roman"/>
          <w:lang w:val="en-GB" w:bidi="de-DE"/>
        </w:rPr>
      </w:pPr>
    </w:p>
    <w:p w:rsidR="00476A39" w:rsidRPr="00476A39" w:rsidRDefault="00476A39" w:rsidP="00476A39">
      <w:pPr>
        <w:numPr>
          <w:ilvl w:val="0"/>
          <w:numId w:val="12"/>
        </w:numPr>
        <w:spacing w:before="240" w:after="0" w:line="240" w:lineRule="auto"/>
        <w:contextualSpacing/>
        <w:jc w:val="both"/>
        <w:rPr>
          <w:rFonts w:ascii="Calibri" w:eastAsia="Times New Roman" w:hAnsi="Calibri" w:cs="Times New Roman"/>
          <w:b/>
          <w:lang w:val="en-GB" w:bidi="de-DE"/>
        </w:rPr>
      </w:pPr>
      <w:r w:rsidRPr="00476A39">
        <w:rPr>
          <w:rFonts w:ascii="Calibri" w:eastAsia="Times New Roman" w:hAnsi="Calibri" w:cs="Times New Roman"/>
          <w:b/>
          <w:lang w:val="en-GB" w:bidi="de-DE"/>
        </w:rPr>
        <w:t>Protocol on Shared Watercourses</w:t>
      </w:r>
    </w:p>
    <w:p w:rsidR="00476A39" w:rsidRPr="00476A39" w:rsidRDefault="00476A39" w:rsidP="00476A39">
      <w:pPr>
        <w:spacing w:before="240"/>
        <w:contextualSpacing/>
        <w:jc w:val="both"/>
        <w:rPr>
          <w:rFonts w:ascii="Calibri" w:eastAsia="Times New Roman" w:hAnsi="Calibri" w:cs="Times New Roman"/>
          <w:color w:val="808080"/>
          <w:lang w:val="en-GB" w:bidi="de-DE"/>
        </w:rPr>
      </w:pPr>
      <w:r w:rsidRPr="00476A39">
        <w:rPr>
          <w:rFonts w:ascii="Calibri" w:eastAsia="Times New Roman" w:hAnsi="Calibri" w:cs="Times New Roman"/>
          <w:lang w:val="en-GB" w:bidi="de-DE"/>
        </w:rPr>
        <w:t xml:space="preserve">The Protocol on Shared Watercourses has been modelled after a European Directive. The details of this directive will be spelled out in the following section relating to the European Union. </w:t>
      </w:r>
    </w:p>
    <w:p w:rsidR="00476A39" w:rsidRPr="00476A39" w:rsidRDefault="00476A39" w:rsidP="00476A39">
      <w:pPr>
        <w:spacing w:before="240"/>
        <w:contextualSpacing/>
        <w:jc w:val="both"/>
        <w:rPr>
          <w:rFonts w:ascii="Calibri" w:eastAsia="Times New Roman" w:hAnsi="Calibri" w:cs="Times New Roman"/>
          <w:color w:val="808080"/>
          <w:lang w:val="en-GB" w:bidi="de-DE"/>
        </w:rPr>
      </w:pPr>
      <w:r w:rsidRPr="00476A39">
        <w:rPr>
          <w:rFonts w:ascii="Calibri" w:eastAsia="Times New Roman" w:hAnsi="Calibri" w:cs="Times New Roman"/>
          <w:color w:val="808080"/>
          <w:lang w:val="en-GB" w:bidi="de-DE"/>
        </w:rPr>
        <w:t xml:space="preserve">Art. 4 of the Protocol </w:t>
      </w:r>
      <w:proofErr w:type="gramStart"/>
      <w:r w:rsidRPr="00476A39">
        <w:rPr>
          <w:rFonts w:ascii="Calibri" w:eastAsia="Times New Roman" w:hAnsi="Calibri" w:cs="Times New Roman"/>
          <w:color w:val="808080"/>
          <w:lang w:val="en-GB" w:bidi="de-DE"/>
        </w:rPr>
        <w:t>requires</w:t>
      </w:r>
      <w:proofErr w:type="gramEnd"/>
      <w:r w:rsidRPr="00476A39">
        <w:rPr>
          <w:rFonts w:ascii="Calibri" w:eastAsia="Times New Roman" w:hAnsi="Calibri" w:cs="Times New Roman"/>
          <w:color w:val="808080"/>
          <w:lang w:val="en-GB" w:bidi="de-DE"/>
        </w:rPr>
        <w:t xml:space="preserve"> states to jointly protect their watercourses. XXX</w:t>
      </w:r>
    </w:p>
    <w:p w:rsidR="00476A39" w:rsidRPr="00476A39" w:rsidRDefault="00476A39" w:rsidP="00476A39">
      <w:pPr>
        <w:spacing w:before="240"/>
        <w:contextualSpacing/>
        <w:jc w:val="both"/>
        <w:rPr>
          <w:rFonts w:ascii="Calibri" w:eastAsia="Times New Roman" w:hAnsi="Calibri" w:cs="Times New Roman"/>
          <w:color w:val="808080"/>
          <w:lang w:val="en-GB" w:bidi="de-DE"/>
        </w:rPr>
      </w:pPr>
    </w:p>
    <w:p w:rsidR="00476A39" w:rsidRPr="00476A39" w:rsidRDefault="00476A39" w:rsidP="00476A39">
      <w:pPr>
        <w:numPr>
          <w:ilvl w:val="0"/>
          <w:numId w:val="12"/>
        </w:numPr>
        <w:spacing w:before="240" w:after="0" w:line="240" w:lineRule="auto"/>
        <w:contextualSpacing/>
        <w:jc w:val="both"/>
        <w:rPr>
          <w:rFonts w:ascii="Calibri" w:eastAsia="Times New Roman" w:hAnsi="Calibri" w:cs="Times New Roman"/>
          <w:b/>
          <w:lang w:val="en-GB" w:bidi="de-DE"/>
        </w:rPr>
      </w:pPr>
      <w:r w:rsidRPr="00476A39">
        <w:rPr>
          <w:rFonts w:ascii="Calibri" w:eastAsia="Times New Roman" w:hAnsi="Calibri" w:cs="Times New Roman"/>
          <w:b/>
          <w:lang w:val="en-GB" w:bidi="de-DE"/>
        </w:rPr>
        <w:t>Protocol on Wildlife Conservation and Law Enforcement (1999)</w:t>
      </w:r>
    </w:p>
    <w:p w:rsidR="00476A39" w:rsidRPr="00476A39" w:rsidRDefault="00476A39" w:rsidP="00476A39">
      <w:pPr>
        <w:spacing w:before="240"/>
        <w:contextualSpacing/>
        <w:jc w:val="both"/>
        <w:rPr>
          <w:rFonts w:ascii="Calibri" w:eastAsia="Times New Roman" w:hAnsi="Calibri" w:cs="Times New Roman"/>
          <w:lang w:val="en-GB" w:bidi="de-DE"/>
        </w:rPr>
      </w:pPr>
      <w:r w:rsidRPr="00476A39">
        <w:rPr>
          <w:rFonts w:ascii="Calibri" w:eastAsia="Times New Roman" w:hAnsi="Calibri" w:cs="Times New Roman"/>
          <w:lang w:val="en-GB" w:bidi="de-DE"/>
        </w:rPr>
        <w:t xml:space="preserve">The Protocol on Wildlife Conservation and Law Enforcement contains the objective of promoting </w:t>
      </w:r>
      <w:r w:rsidRPr="00476A39">
        <w:rPr>
          <w:rFonts w:ascii="Calibri" w:eastAsia="Times New Roman" w:hAnsi="Calibri" w:cs="Times New Roman"/>
          <w:i/>
          <w:iCs/>
          <w:color w:val="000000"/>
          <w:lang w:val="en-GB" w:eastAsia="x-none" w:bidi="de-DE"/>
        </w:rPr>
        <w:t>“the conservation of shared wildlife resources through the establishment of transfrontier conservation areas”</w:t>
      </w:r>
      <w:r w:rsidRPr="00476A39">
        <w:rPr>
          <w:rFonts w:ascii="Calibri" w:eastAsia="Times New Roman" w:hAnsi="Calibri" w:cs="Times New Roman"/>
          <w:lang w:val="en-GB" w:bidi="de-DE"/>
        </w:rPr>
        <w:t xml:space="preserve"> (Art. 4 (f)).</w:t>
      </w:r>
    </w:p>
    <w:p w:rsidR="00476A39" w:rsidRPr="00476A39" w:rsidRDefault="00476A39" w:rsidP="00476A39">
      <w:pPr>
        <w:spacing w:before="240"/>
        <w:contextualSpacing/>
        <w:jc w:val="both"/>
        <w:rPr>
          <w:rFonts w:ascii="Calibri" w:eastAsia="Times New Roman" w:hAnsi="Calibri" w:cs="Times New Roman"/>
          <w:lang w:val="en-GB" w:bidi="de-DE"/>
        </w:rPr>
      </w:pPr>
    </w:p>
    <w:p w:rsidR="00476A39" w:rsidRPr="00476A39" w:rsidRDefault="00476A39" w:rsidP="00476A39">
      <w:pPr>
        <w:spacing w:before="240"/>
        <w:contextualSpacing/>
        <w:jc w:val="both"/>
        <w:rPr>
          <w:rFonts w:ascii="Calibri" w:eastAsia="Times New Roman" w:hAnsi="Calibri" w:cs="Times New Roman"/>
          <w:lang w:val="en-GB" w:bidi="de-DE"/>
        </w:rPr>
      </w:pPr>
      <w:r w:rsidRPr="00476A39">
        <w:rPr>
          <w:rFonts w:ascii="Calibri" w:eastAsia="Times New Roman" w:hAnsi="Calibri" w:cs="Times New Roman"/>
          <w:lang w:val="en-GB" w:bidi="de-DE"/>
        </w:rPr>
        <w:t>Apart from this specific provision on TFCAs, the following articles deal with transboundary natural resources management:</w:t>
      </w:r>
    </w:p>
    <w:p w:rsidR="00476A39" w:rsidRPr="00476A39" w:rsidRDefault="00476A39" w:rsidP="00476A39">
      <w:pPr>
        <w:numPr>
          <w:ilvl w:val="0"/>
          <w:numId w:val="14"/>
        </w:numPr>
        <w:spacing w:before="240" w:after="0" w:line="240" w:lineRule="auto"/>
        <w:contextualSpacing/>
        <w:jc w:val="both"/>
        <w:rPr>
          <w:rFonts w:ascii="Calibri" w:eastAsia="Times New Roman" w:hAnsi="Calibri" w:cs="Times New Roman"/>
          <w:lang w:val="en-GB" w:bidi="de-DE"/>
        </w:rPr>
      </w:pPr>
      <w:r w:rsidRPr="00476A39">
        <w:rPr>
          <w:rFonts w:ascii="Calibri" w:eastAsia="Times New Roman" w:hAnsi="Calibri" w:cs="Times New Roman"/>
          <w:lang w:val="en-GB" w:bidi="de-DE"/>
        </w:rPr>
        <w:t xml:space="preserve">Art. 7 (5) requires State Parties to, </w:t>
      </w:r>
      <w:r w:rsidRPr="00476A39">
        <w:rPr>
          <w:rFonts w:ascii="Calibri" w:eastAsia="Times New Roman" w:hAnsi="Calibri" w:cs="Times New Roman"/>
          <w:i/>
          <w:iCs/>
          <w:color w:val="000000"/>
          <w:lang w:val="en-GB" w:eastAsia="x-none" w:bidi="de-DE"/>
        </w:rPr>
        <w:t>“as appropriate, establish programmes and enter into agreements to promote the co-operative management of shared wildlife resources and wildlife habitats across international borders”.</w:t>
      </w:r>
    </w:p>
    <w:p w:rsidR="00476A39" w:rsidRPr="00476A39" w:rsidRDefault="00476A39" w:rsidP="00476A39">
      <w:pPr>
        <w:numPr>
          <w:ilvl w:val="0"/>
          <w:numId w:val="14"/>
        </w:numPr>
        <w:spacing w:before="240" w:after="0" w:line="240" w:lineRule="auto"/>
        <w:contextualSpacing/>
        <w:jc w:val="both"/>
        <w:rPr>
          <w:rFonts w:ascii="Calibri" w:eastAsia="Times New Roman" w:hAnsi="Calibri" w:cs="Times New Roman"/>
          <w:lang w:val="en-GB" w:bidi="de-DE"/>
        </w:rPr>
      </w:pPr>
      <w:r w:rsidRPr="00476A39">
        <w:rPr>
          <w:rFonts w:ascii="Calibri" w:eastAsia="Times New Roman" w:hAnsi="Calibri" w:cs="Times New Roman"/>
          <w:lang w:val="en-GB" w:bidi="de-DE"/>
        </w:rPr>
        <w:t>Art. 8 calls for the establishment of a regional database on the status and management of wildlife.</w:t>
      </w:r>
    </w:p>
    <w:p w:rsidR="00476A39" w:rsidRPr="00476A39" w:rsidRDefault="00476A39" w:rsidP="00476A39">
      <w:pPr>
        <w:numPr>
          <w:ilvl w:val="0"/>
          <w:numId w:val="14"/>
        </w:numPr>
        <w:spacing w:before="240" w:after="0" w:line="240" w:lineRule="auto"/>
        <w:contextualSpacing/>
        <w:jc w:val="both"/>
        <w:rPr>
          <w:rFonts w:ascii="Calibri" w:eastAsia="Times New Roman" w:hAnsi="Calibri" w:cs="Times New Roman"/>
          <w:lang w:val="en-GB" w:bidi="de-DE"/>
        </w:rPr>
      </w:pPr>
      <w:r w:rsidRPr="00476A39">
        <w:rPr>
          <w:rFonts w:ascii="Calibri" w:eastAsia="Times New Roman" w:hAnsi="Calibri" w:cs="Times New Roman"/>
          <w:lang w:val="en-GB" w:bidi="de-DE"/>
        </w:rPr>
        <w:lastRenderedPageBreak/>
        <w:t xml:space="preserve">Pursuant to Art. 9 – Co-operation in Wildlife Law Enforcement - State Parties are </w:t>
      </w:r>
      <w:r w:rsidRPr="00476A39">
        <w:rPr>
          <w:rFonts w:ascii="Calibri" w:eastAsia="Times New Roman" w:hAnsi="Calibri" w:cs="Times New Roman"/>
          <w:i/>
          <w:lang w:val="en-GB" w:bidi="de-DE"/>
        </w:rPr>
        <w:t>inter alia</w:t>
      </w:r>
      <w:r w:rsidRPr="00476A39">
        <w:rPr>
          <w:rFonts w:ascii="Calibri" w:eastAsia="Times New Roman" w:hAnsi="Calibri" w:cs="Times New Roman"/>
          <w:lang w:val="en-GB" w:bidi="de-DE"/>
        </w:rPr>
        <w:t xml:space="preserve"> under an obligation to </w:t>
      </w:r>
      <w:r w:rsidRPr="00476A39">
        <w:rPr>
          <w:rFonts w:ascii="Calibri" w:eastAsia="Times New Roman" w:hAnsi="Calibri" w:cs="Times New Roman"/>
          <w:i/>
          <w:iCs/>
          <w:color w:val="000000"/>
          <w:lang w:val="en-GB" w:eastAsia="x-none" w:bidi="de-DE"/>
        </w:rPr>
        <w:t>“take the necessary measures to ensure the effective enforcement of legislation governing the conservation an sustainable use of wildlife resources”</w:t>
      </w:r>
      <w:r w:rsidRPr="00476A39">
        <w:rPr>
          <w:rFonts w:ascii="Calibri" w:eastAsia="Times New Roman" w:hAnsi="Calibri" w:cs="Times New Roman"/>
          <w:lang w:val="en-GB" w:bidi="de-DE"/>
        </w:rPr>
        <w:t xml:space="preserve">, to </w:t>
      </w:r>
      <w:r w:rsidRPr="00476A39">
        <w:rPr>
          <w:rFonts w:ascii="Calibri" w:eastAsia="Times New Roman" w:hAnsi="Calibri" w:cs="Times New Roman"/>
          <w:i/>
          <w:iCs/>
          <w:color w:val="000000"/>
          <w:lang w:val="en-GB" w:eastAsia="x-none" w:bidi="de-DE"/>
        </w:rPr>
        <w:t>“exchange information concerning the illegal taking of and trade in wildlife and wildlife products”</w:t>
      </w:r>
      <w:r w:rsidRPr="00476A39">
        <w:rPr>
          <w:rFonts w:ascii="Calibri" w:eastAsia="Times New Roman" w:hAnsi="Calibri" w:cs="Times New Roman"/>
          <w:lang w:val="en-GB" w:bidi="de-DE"/>
        </w:rPr>
        <w:t xml:space="preserve"> and to coordinate efforts of the law enforcement authorities.</w:t>
      </w:r>
    </w:p>
    <w:p w:rsidR="00476A39" w:rsidRPr="00476A39" w:rsidRDefault="00476A39" w:rsidP="00476A39">
      <w:pPr>
        <w:spacing w:before="240"/>
        <w:contextualSpacing/>
        <w:jc w:val="both"/>
        <w:rPr>
          <w:rFonts w:ascii="Calibri" w:eastAsia="Times New Roman" w:hAnsi="Calibri" w:cs="Times New Roman"/>
          <w:lang w:val="en-GB" w:bidi="de-DE"/>
        </w:rPr>
      </w:pPr>
    </w:p>
    <w:p w:rsidR="00476A39" w:rsidRPr="00476A39" w:rsidRDefault="00476A39" w:rsidP="00476A39">
      <w:pPr>
        <w:numPr>
          <w:ilvl w:val="0"/>
          <w:numId w:val="12"/>
        </w:numPr>
        <w:spacing w:before="240" w:after="0" w:line="240" w:lineRule="auto"/>
        <w:contextualSpacing/>
        <w:jc w:val="both"/>
        <w:rPr>
          <w:rFonts w:ascii="Calibri" w:eastAsia="Times New Roman" w:hAnsi="Calibri" w:cs="Times New Roman"/>
          <w:b/>
          <w:lang w:val="en-GB" w:bidi="de-DE"/>
        </w:rPr>
      </w:pPr>
      <w:r w:rsidRPr="00476A39">
        <w:rPr>
          <w:rFonts w:ascii="Calibri" w:eastAsia="Times New Roman" w:hAnsi="Calibri" w:cs="Times New Roman"/>
          <w:b/>
          <w:lang w:val="en-GB" w:bidi="de-DE"/>
        </w:rPr>
        <w:t>Protocol on Fisheries (2001)</w:t>
      </w:r>
    </w:p>
    <w:p w:rsidR="00476A39" w:rsidRPr="00476A39" w:rsidRDefault="00476A39" w:rsidP="00476A39">
      <w:pPr>
        <w:spacing w:before="240"/>
        <w:contextualSpacing/>
        <w:jc w:val="both"/>
        <w:rPr>
          <w:rFonts w:ascii="Calibri" w:eastAsia="Times New Roman" w:hAnsi="Calibri" w:cs="Times New Roman"/>
          <w:lang w:val="en-GB" w:bidi="de-DE"/>
        </w:rPr>
      </w:pPr>
      <w:r w:rsidRPr="00476A39">
        <w:rPr>
          <w:rFonts w:ascii="Calibri" w:eastAsia="Times New Roman" w:hAnsi="Calibri" w:cs="Times New Roman"/>
          <w:lang w:val="en-GB" w:bidi="de-DE"/>
        </w:rPr>
        <w:t xml:space="preserve">In 2001, SADC adopted the Protocol on Fisheries which contains several articles which specifically deal with transboundary cooperation: </w:t>
      </w:r>
    </w:p>
    <w:p w:rsidR="00476A39" w:rsidRPr="00476A39" w:rsidRDefault="00476A39" w:rsidP="00476A39">
      <w:pPr>
        <w:numPr>
          <w:ilvl w:val="0"/>
          <w:numId w:val="13"/>
        </w:numPr>
        <w:spacing w:before="240" w:after="0" w:line="240" w:lineRule="auto"/>
        <w:contextualSpacing/>
        <w:jc w:val="both"/>
        <w:rPr>
          <w:rFonts w:ascii="Calibri" w:eastAsia="Times New Roman" w:hAnsi="Calibri" w:cs="Times New Roman"/>
          <w:lang w:val="en-GB" w:bidi="de-DE"/>
        </w:rPr>
      </w:pPr>
      <w:r w:rsidRPr="00476A39">
        <w:rPr>
          <w:rFonts w:ascii="Calibri" w:eastAsia="Times New Roman" w:hAnsi="Calibri" w:cs="Times New Roman"/>
          <w:lang w:val="en-GB" w:bidi="de-DE"/>
        </w:rPr>
        <w:t xml:space="preserve">Art. 6 of the Protocol </w:t>
      </w:r>
      <w:proofErr w:type="gramStart"/>
      <w:r w:rsidRPr="00476A39">
        <w:rPr>
          <w:rFonts w:ascii="Calibri" w:eastAsia="Times New Roman" w:hAnsi="Calibri" w:cs="Times New Roman"/>
          <w:lang w:val="en-GB" w:bidi="de-DE"/>
        </w:rPr>
        <w:t>encourages</w:t>
      </w:r>
      <w:proofErr w:type="gramEnd"/>
      <w:r w:rsidRPr="00476A39">
        <w:rPr>
          <w:rFonts w:ascii="Calibri" w:eastAsia="Times New Roman" w:hAnsi="Calibri" w:cs="Times New Roman"/>
          <w:lang w:val="en-GB" w:bidi="de-DE"/>
        </w:rPr>
        <w:t xml:space="preserve"> State Parties to establish common positions and undertake coordinated actions. </w:t>
      </w:r>
    </w:p>
    <w:p w:rsidR="00476A39" w:rsidRPr="00476A39" w:rsidRDefault="00476A39" w:rsidP="00476A39">
      <w:pPr>
        <w:numPr>
          <w:ilvl w:val="0"/>
          <w:numId w:val="13"/>
        </w:numPr>
        <w:spacing w:before="240" w:after="0" w:line="240" w:lineRule="auto"/>
        <w:contextualSpacing/>
        <w:jc w:val="both"/>
        <w:rPr>
          <w:rFonts w:ascii="Calibri" w:eastAsia="Times New Roman" w:hAnsi="Calibri" w:cs="Times New Roman"/>
          <w:lang w:val="en-GB" w:bidi="de-DE"/>
        </w:rPr>
      </w:pPr>
      <w:r w:rsidRPr="00476A39">
        <w:rPr>
          <w:rFonts w:ascii="Calibri" w:eastAsia="Times New Roman" w:hAnsi="Calibri" w:cs="Times New Roman"/>
          <w:lang w:val="en-GB" w:bidi="de-DE"/>
        </w:rPr>
        <w:t xml:space="preserve">Art. 7 </w:t>
      </w:r>
      <w:proofErr w:type="gramStart"/>
      <w:r w:rsidRPr="00476A39">
        <w:rPr>
          <w:rFonts w:ascii="Calibri" w:eastAsia="Times New Roman" w:hAnsi="Calibri" w:cs="Times New Roman"/>
          <w:lang w:val="en-GB" w:bidi="de-DE"/>
        </w:rPr>
        <w:t>contains</w:t>
      </w:r>
      <w:proofErr w:type="gramEnd"/>
      <w:r w:rsidRPr="00476A39">
        <w:rPr>
          <w:rFonts w:ascii="Calibri" w:eastAsia="Times New Roman" w:hAnsi="Calibri" w:cs="Times New Roman"/>
          <w:lang w:val="en-GB" w:bidi="de-DE"/>
        </w:rPr>
        <w:t xml:space="preserve"> elaborate provisions on the management of shared resources. State Parties are obliged to exchange information, take certain conservation measures (prevention of overfishing, e.g.) and encouraged to establish instruments for the management of shared resources.</w:t>
      </w:r>
    </w:p>
    <w:p w:rsidR="00476A39" w:rsidRPr="00476A39" w:rsidRDefault="00476A39" w:rsidP="00476A39">
      <w:pPr>
        <w:numPr>
          <w:ilvl w:val="0"/>
          <w:numId w:val="13"/>
        </w:numPr>
        <w:spacing w:before="240" w:after="0" w:line="240" w:lineRule="auto"/>
        <w:contextualSpacing/>
        <w:jc w:val="both"/>
        <w:rPr>
          <w:rFonts w:ascii="Calibri" w:eastAsia="Times New Roman" w:hAnsi="Calibri" w:cs="Times New Roman"/>
          <w:lang w:val="en-GB" w:bidi="de-DE"/>
        </w:rPr>
      </w:pPr>
      <w:r w:rsidRPr="00476A39">
        <w:rPr>
          <w:rFonts w:ascii="Calibri" w:eastAsia="Times New Roman" w:hAnsi="Calibri" w:cs="Times New Roman"/>
          <w:lang w:val="en-GB" w:bidi="de-DE"/>
        </w:rPr>
        <w:t xml:space="preserve">Pursuant to Art. 8 of the Protocol State Parties are </w:t>
      </w:r>
      <w:r w:rsidRPr="00476A39">
        <w:rPr>
          <w:rFonts w:ascii="Calibri" w:eastAsia="Times New Roman" w:hAnsi="Calibri" w:cs="Times New Roman"/>
          <w:i/>
          <w:iCs/>
          <w:color w:val="000000"/>
          <w:lang w:val="en-GB" w:eastAsia="x-none" w:bidi="de-DE"/>
        </w:rPr>
        <w:t>“required to harmonise legislation with particular reference to the management of shared resources”</w:t>
      </w:r>
      <w:r w:rsidRPr="00476A39">
        <w:rPr>
          <w:rFonts w:ascii="Calibri" w:eastAsia="Times New Roman" w:hAnsi="Calibri" w:cs="Times New Roman"/>
          <w:lang w:val="en-GB" w:bidi="de-DE"/>
        </w:rPr>
        <w:t xml:space="preserve">. In addition, State Parties </w:t>
      </w:r>
      <w:r w:rsidRPr="00476A39">
        <w:rPr>
          <w:rFonts w:ascii="Calibri" w:eastAsia="Times New Roman" w:hAnsi="Calibri" w:cs="Times New Roman"/>
          <w:i/>
          <w:iCs/>
          <w:color w:val="000000"/>
          <w:lang w:val="en-GB" w:eastAsia="x-none" w:bidi="de-DE"/>
        </w:rPr>
        <w:t>“shall establish appropriate arrangement to enable co-operation on hot pursuit of vessels that violate the laws of one State Party and enter the jurisdiction of another”</w:t>
      </w:r>
      <w:r w:rsidRPr="00476A39">
        <w:rPr>
          <w:rFonts w:ascii="Calibri" w:eastAsia="Times New Roman" w:hAnsi="Calibri" w:cs="Times New Roman"/>
          <w:lang w:val="en-GB" w:bidi="de-DE"/>
        </w:rPr>
        <w:t>.</w:t>
      </w:r>
    </w:p>
    <w:p w:rsidR="00476A39" w:rsidRPr="00476A39" w:rsidRDefault="00476A39" w:rsidP="00476A39">
      <w:pPr>
        <w:spacing w:before="240"/>
        <w:jc w:val="both"/>
        <w:rPr>
          <w:rFonts w:ascii="Calibri" w:eastAsia="Times New Roman" w:hAnsi="Calibri" w:cs="Times New Roman"/>
          <w:lang w:val="en-GB" w:bidi="de-DE"/>
        </w:rPr>
      </w:pPr>
    </w:p>
    <w:p w:rsidR="00476A39" w:rsidRPr="00476A39" w:rsidRDefault="00476A39" w:rsidP="00476A39">
      <w:pPr>
        <w:numPr>
          <w:ilvl w:val="0"/>
          <w:numId w:val="12"/>
        </w:numPr>
        <w:spacing w:before="240" w:after="0" w:line="240" w:lineRule="auto"/>
        <w:contextualSpacing/>
        <w:jc w:val="both"/>
        <w:rPr>
          <w:rFonts w:ascii="Calibri" w:eastAsia="Times New Roman" w:hAnsi="Calibri" w:cs="Times New Roman"/>
          <w:lang w:val="en-GB" w:bidi="de-DE"/>
        </w:rPr>
      </w:pPr>
      <w:r w:rsidRPr="00476A39">
        <w:rPr>
          <w:rFonts w:ascii="Calibri" w:eastAsia="Times New Roman" w:hAnsi="Calibri" w:cs="Times New Roman"/>
          <w:b/>
          <w:lang w:val="en-GB" w:bidi="de-DE"/>
        </w:rPr>
        <w:t xml:space="preserve">Protocol on Forestry (2002) </w:t>
      </w:r>
    </w:p>
    <w:p w:rsidR="00476A39" w:rsidRPr="00476A39" w:rsidRDefault="00476A39" w:rsidP="00476A39">
      <w:pPr>
        <w:spacing w:before="240"/>
        <w:jc w:val="both"/>
        <w:rPr>
          <w:rFonts w:ascii="Calibri" w:eastAsia="Times New Roman" w:hAnsi="Calibri" w:cs="Times New Roman"/>
          <w:lang w:val="en-GB" w:bidi="de-DE"/>
        </w:rPr>
      </w:pPr>
      <w:r w:rsidRPr="00476A39">
        <w:rPr>
          <w:rFonts w:ascii="Calibri" w:eastAsia="Times New Roman" w:hAnsi="Calibri" w:cs="Times New Roman"/>
          <w:lang w:val="en-GB" w:bidi="de-DE"/>
        </w:rPr>
        <w:t xml:space="preserve">SADC has issued a Protocol on Forestry in 2002 in which it encourages states to, </w:t>
      </w:r>
      <w:r w:rsidRPr="00476A39">
        <w:rPr>
          <w:rFonts w:ascii="Calibri" w:eastAsia="Times New Roman" w:hAnsi="Calibri" w:cs="Times New Roman"/>
          <w:i/>
          <w:iCs/>
          <w:color w:val="000000"/>
          <w:lang w:val="en-GB" w:eastAsia="x-none" w:bidi="de-DE"/>
        </w:rPr>
        <w:t>“where appropriate, establish programmes and enter into agreements to promote the co-operation and integrated management of transboundary forests and protected areas”</w:t>
      </w:r>
      <w:r w:rsidRPr="00476A39">
        <w:rPr>
          <w:rFonts w:ascii="Calibri" w:eastAsia="Times New Roman" w:hAnsi="Calibri" w:cs="Times New Roman"/>
          <w:lang w:val="en-GB" w:bidi="de-DE"/>
        </w:rPr>
        <w:t xml:space="preserve"> (Art. 15). </w:t>
      </w:r>
    </w:p>
    <w:p w:rsidR="00476A39" w:rsidRPr="00476A39" w:rsidRDefault="00476A39" w:rsidP="00476A39">
      <w:pPr>
        <w:spacing w:before="240"/>
        <w:jc w:val="both"/>
        <w:rPr>
          <w:rFonts w:ascii="Calibri" w:eastAsia="Times New Roman" w:hAnsi="Calibri" w:cs="Times New Roman"/>
          <w:lang w:val="en-GB" w:bidi="de-DE"/>
        </w:rPr>
      </w:pPr>
      <w:r w:rsidRPr="00476A39">
        <w:rPr>
          <w:rFonts w:ascii="Calibri" w:eastAsia="Times New Roman" w:hAnsi="Calibri" w:cs="Times New Roman"/>
          <w:lang w:val="en-GB" w:bidi="de-DE"/>
        </w:rPr>
        <w:t>Art. 22 of the Protocol call for State Parties to “endeavour to obtain the assistance and co-operation of other states and organisations in achieving the objectives” of the Protocol. Also, where appropriate, cooperation with other Member States that are not party to the Protocol is encouraged in paragraph two of this provision.</w:t>
      </w:r>
    </w:p>
    <w:p w:rsidR="00476A39" w:rsidRPr="00476A39" w:rsidRDefault="00476A39" w:rsidP="00476A39">
      <w:pPr>
        <w:spacing w:before="240"/>
        <w:contextualSpacing/>
        <w:jc w:val="both"/>
        <w:rPr>
          <w:rFonts w:ascii="Calibri" w:eastAsia="Times New Roman" w:hAnsi="Calibri" w:cs="Times New Roman"/>
          <w:lang w:val="en-GB" w:bidi="de-DE"/>
        </w:rPr>
      </w:pPr>
      <w:r w:rsidRPr="00476A39">
        <w:rPr>
          <w:rFonts w:ascii="Calibri" w:eastAsia="Times New Roman" w:hAnsi="Calibri" w:cs="Times New Roman"/>
          <w:lang w:val="en-GB" w:bidi="de-DE"/>
        </w:rPr>
        <w:t>However, none of the SADC Environmental Protocols provide for enforcement mechanisms.</w:t>
      </w:r>
    </w:p>
    <w:p w:rsidR="00476A39" w:rsidRPr="00476A39" w:rsidRDefault="00476A39" w:rsidP="00476A39">
      <w:pPr>
        <w:spacing w:before="240"/>
        <w:contextualSpacing/>
        <w:jc w:val="both"/>
        <w:rPr>
          <w:rFonts w:ascii="Calibri" w:eastAsia="Times New Roman" w:hAnsi="Calibri" w:cs="Times New Roman"/>
          <w:lang w:val="en-GB" w:bidi="de-DE"/>
        </w:rPr>
      </w:pPr>
    </w:p>
    <w:p w:rsidR="00476A39" w:rsidRPr="00476A39" w:rsidRDefault="00476A39" w:rsidP="00476A39">
      <w:pPr>
        <w:numPr>
          <w:ilvl w:val="0"/>
          <w:numId w:val="12"/>
        </w:numPr>
        <w:spacing w:before="240" w:after="0" w:line="240" w:lineRule="auto"/>
        <w:contextualSpacing/>
        <w:jc w:val="both"/>
        <w:rPr>
          <w:rFonts w:ascii="Calibri" w:eastAsia="Times New Roman" w:hAnsi="Calibri" w:cs="Times New Roman"/>
          <w:b/>
          <w:lang w:val="en-GB" w:bidi="de-DE"/>
        </w:rPr>
      </w:pPr>
      <w:r w:rsidRPr="00476A39">
        <w:rPr>
          <w:rFonts w:ascii="Calibri" w:eastAsia="Times New Roman" w:hAnsi="Calibri" w:cs="Times New Roman"/>
          <w:b/>
          <w:lang w:val="en-GB" w:bidi="de-DE"/>
        </w:rPr>
        <w:t>Programme on TFCAs (2013)</w:t>
      </w:r>
    </w:p>
    <w:p w:rsidR="00476A39" w:rsidRPr="00476A39" w:rsidRDefault="00476A39" w:rsidP="00476A39">
      <w:pPr>
        <w:spacing w:before="240"/>
        <w:contextualSpacing/>
        <w:jc w:val="both"/>
        <w:rPr>
          <w:rFonts w:ascii="Calibri" w:eastAsia="Times New Roman" w:hAnsi="Calibri" w:cs="Times New Roman"/>
          <w:lang w:val="en-GB" w:bidi="de-DE"/>
        </w:rPr>
      </w:pPr>
      <w:r w:rsidRPr="00476A39">
        <w:rPr>
          <w:rFonts w:ascii="Calibri" w:eastAsia="Times New Roman" w:hAnsi="Calibri" w:cs="Times New Roman"/>
          <w:lang w:val="en-GB" w:bidi="de-DE"/>
        </w:rPr>
        <w:t>In pursuance of the Protocol on Wildlife Conservation and Law Enforcement SADC issued a Programme for TFCAS in 2013. Under the first of the seven components - “Advocacy and Harmonization” - the Programme</w:t>
      </w:r>
    </w:p>
    <w:p w:rsidR="00476A39" w:rsidRPr="00476A39" w:rsidRDefault="00476A39" w:rsidP="00476A39">
      <w:pPr>
        <w:jc w:val="both"/>
        <w:rPr>
          <w:rFonts w:ascii="Calibri" w:eastAsia="Times New Roman" w:hAnsi="Calibri" w:cs="Times New Roman"/>
          <w:i/>
          <w:iCs/>
          <w:color w:val="000000"/>
          <w:lang w:val="en-GB" w:bidi="de-DE"/>
        </w:rPr>
      </w:pPr>
      <w:r w:rsidRPr="00476A39">
        <w:rPr>
          <w:rFonts w:ascii="Calibri" w:eastAsia="Times New Roman" w:hAnsi="Calibri" w:cs="Times New Roman"/>
          <w:i/>
          <w:iCs/>
          <w:color w:val="000000"/>
          <w:lang w:val="en-GB" w:bidi="de-DE"/>
        </w:rPr>
        <w:t>“</w:t>
      </w:r>
      <w:proofErr w:type="gramStart"/>
      <w:r w:rsidRPr="00476A39">
        <w:rPr>
          <w:rFonts w:ascii="Calibri" w:eastAsia="Times New Roman" w:hAnsi="Calibri" w:cs="Times New Roman"/>
          <w:i/>
          <w:iCs/>
          <w:color w:val="000000"/>
          <w:lang w:val="en-GB" w:bidi="de-DE"/>
        </w:rPr>
        <w:t>advocates</w:t>
      </w:r>
      <w:proofErr w:type="gramEnd"/>
      <w:r w:rsidRPr="00476A39">
        <w:rPr>
          <w:rFonts w:ascii="Calibri" w:eastAsia="Times New Roman" w:hAnsi="Calibri" w:cs="Times New Roman"/>
          <w:i/>
          <w:iCs/>
          <w:color w:val="000000"/>
          <w:lang w:val="en-GB" w:bidi="de-DE"/>
        </w:rPr>
        <w:t xml:space="preserve"> for the harmonisation of policy and legal frameworks, thereby facilitating the development of regional standards, procedures and guidelines to overcome gaps and resolve conflicts within and between policies and laws of participating countries in the development of TFCAs. Improved policies and legislation are the basis for efficient management of TFCAs and the systematic expansion of the TFCA network.”</w:t>
      </w:r>
    </w:p>
    <w:p w:rsidR="00476A39" w:rsidRDefault="00476A39">
      <w:r>
        <w:br w:type="page"/>
      </w:r>
    </w:p>
    <w:p w:rsidR="005C7052" w:rsidRDefault="00476A39" w:rsidP="00C271E2">
      <w:pPr>
        <w:pStyle w:val="Heading1"/>
        <w:ind w:left="2977" w:hanging="2977"/>
      </w:pPr>
      <w:r>
        <w:lastRenderedPageBreak/>
        <w:t xml:space="preserve">Small Group Session 2: </w:t>
      </w:r>
      <w:r w:rsidR="00A45658">
        <w:t xml:space="preserve">Focus on Section 6 - </w:t>
      </w:r>
      <w:bookmarkStart w:id="0" w:name="_Toc383083997"/>
      <w:r w:rsidR="00A45658">
        <w:t>The Initiation of Transfrontier Conservation Areas</w:t>
      </w:r>
      <w:bookmarkEnd w:id="0"/>
    </w:p>
    <w:p w:rsidR="00F270E2" w:rsidRDefault="00A45658" w:rsidP="00A45658">
      <w:r>
        <w:t>It is important that this section be seen as separate from the next one on the aspects</w:t>
      </w:r>
      <w:r w:rsidR="00F270E2">
        <w:t xml:space="preserve"> of TFCA establishment and development</w:t>
      </w:r>
      <w:r>
        <w:t xml:space="preserve">.  It is assumed that a TFCA initiative will have small beginnings with a few enthusiastic conservationists who see the potential and who will need to do a significant body of work to test the feasibility of taking the initiative into the next phase.  With this understanding the three small groups for this session will be required to </w:t>
      </w:r>
      <w:r w:rsidR="00F270E2">
        <w:t>consider:</w:t>
      </w:r>
    </w:p>
    <w:p w:rsidR="00F270E2" w:rsidRDefault="00F270E2" w:rsidP="00F270E2">
      <w:pPr>
        <w:pStyle w:val="ListParagraph"/>
        <w:numPr>
          <w:ilvl w:val="0"/>
          <w:numId w:val="1"/>
        </w:numPr>
      </w:pPr>
      <w:r>
        <w:t>Suggestions as to specific content that may be included in the specific sub-section;</w:t>
      </w:r>
    </w:p>
    <w:p w:rsidR="00F270E2" w:rsidRDefault="00F270E2" w:rsidP="00F270E2">
      <w:pPr>
        <w:pStyle w:val="ListParagraph"/>
        <w:numPr>
          <w:ilvl w:val="0"/>
          <w:numId w:val="1"/>
        </w:numPr>
      </w:pPr>
      <w:r>
        <w:t>Relevant reference material appropriate to the sub-section</w:t>
      </w:r>
      <w:r w:rsidR="008B0042">
        <w:t>;</w:t>
      </w:r>
    </w:p>
    <w:p w:rsidR="008B0042" w:rsidRDefault="008B0042" w:rsidP="00F270E2">
      <w:pPr>
        <w:pStyle w:val="ListParagraph"/>
        <w:numPr>
          <w:ilvl w:val="0"/>
          <w:numId w:val="1"/>
        </w:numPr>
      </w:pPr>
      <w:r>
        <w:t>Examples of case studies where these aspects can be well illustrated as best practice;</w:t>
      </w:r>
    </w:p>
    <w:p w:rsidR="00F270E2" w:rsidRDefault="00F270E2" w:rsidP="00F270E2">
      <w:pPr>
        <w:pStyle w:val="ListParagraph"/>
        <w:numPr>
          <w:ilvl w:val="0"/>
          <w:numId w:val="1"/>
        </w:numPr>
      </w:pPr>
      <w:r>
        <w:t>The names and contact details of SADC TFCA practitioners who will be well placed to contribute to the sub-sections;</w:t>
      </w:r>
    </w:p>
    <w:p w:rsidR="00F270E2" w:rsidRDefault="00F270E2" w:rsidP="00F270E2">
      <w:pPr>
        <w:pStyle w:val="ListParagraph"/>
        <w:numPr>
          <w:ilvl w:val="0"/>
          <w:numId w:val="1"/>
        </w:numPr>
      </w:pPr>
      <w:r>
        <w:t>Details as to what these contributions may entail; and</w:t>
      </w:r>
    </w:p>
    <w:p w:rsidR="00F270E2" w:rsidRDefault="00F270E2" w:rsidP="00F270E2">
      <w:pPr>
        <w:pStyle w:val="ListParagraph"/>
        <w:numPr>
          <w:ilvl w:val="0"/>
          <w:numId w:val="1"/>
        </w:numPr>
      </w:pPr>
      <w:r>
        <w:t>An indication as to when the contribution may be received.</w:t>
      </w:r>
    </w:p>
    <w:p w:rsidR="00F270E2" w:rsidRDefault="00F270E2" w:rsidP="00F270E2">
      <w:r>
        <w:t>The topics for the small groups are as follows:</w:t>
      </w:r>
    </w:p>
    <w:p w:rsidR="008B0042" w:rsidRDefault="008B0042" w:rsidP="00F270E2"/>
    <w:p w:rsidR="00F270E2" w:rsidRDefault="00F270E2" w:rsidP="00F270E2">
      <w:pPr>
        <w:pStyle w:val="Heading2"/>
      </w:pPr>
      <w:r>
        <w:t xml:space="preserve">Small Group A: </w:t>
      </w:r>
      <w:bookmarkStart w:id="1" w:name="_Toc383083998"/>
      <w:r>
        <w:t>Assessing the Enabling Environment</w:t>
      </w:r>
      <w:bookmarkEnd w:id="1"/>
    </w:p>
    <w:p w:rsidR="00A45658" w:rsidRDefault="00F270E2" w:rsidP="00F270E2">
      <w:r>
        <w:t>What aspects need to be assessed by TFCA proponents when assessing the enabling environment, i.e. how does one determine the extent to which the dynamics in the area in question are conducive to the establishment of a TFCA.  For example, is there a history of conflict, are the features which required conservation still in relatively good condition or will significant amounts of restoration be required</w:t>
      </w:r>
      <w:r w:rsidR="008B0042">
        <w:t>, what are the population dynamics of the affected communities, are the latter receptive to conservation, etc.</w:t>
      </w:r>
    </w:p>
    <w:p w:rsidR="008B0042" w:rsidRDefault="008B0042" w:rsidP="00F270E2">
      <w:r>
        <w:t>If this group can take these examples and add to them, while providing the additional information requested in the introduction above, it will help significantly in the compilation of the Guidelines.</w:t>
      </w:r>
    </w:p>
    <w:p w:rsidR="008B0042" w:rsidRDefault="008B0042" w:rsidP="00F270E2"/>
    <w:p w:rsidR="00A45658" w:rsidRDefault="008B0042" w:rsidP="008B0042">
      <w:pPr>
        <w:pStyle w:val="Heading2"/>
      </w:pPr>
      <w:r>
        <w:t xml:space="preserve">Small Group B: </w:t>
      </w:r>
      <w:bookmarkStart w:id="2" w:name="_Toc383083999"/>
      <w:r>
        <w:t>Assessing TFCA Feasibility</w:t>
      </w:r>
      <w:bookmarkEnd w:id="2"/>
    </w:p>
    <w:p w:rsidR="008B0042" w:rsidRDefault="008B0042" w:rsidP="00EE1FAF">
      <w:r>
        <w:t xml:space="preserve">While the enabling environment might be conducive to the establishment of a TFCA, there are numerous factors that will determine the feasibility of establishment and development, such as </w:t>
      </w:r>
      <w:r w:rsidR="00EE1FAF">
        <w:t xml:space="preserve">the </w:t>
      </w:r>
      <w:r>
        <w:t xml:space="preserve">capacity required to facilitate agreements between heads of state, the financial resources required to take on the transaction costs associated with all the necessary steps towards obtaining a mandate and stakeholder buy-in, etc.  </w:t>
      </w:r>
      <w:r w:rsidR="003C374D">
        <w:t xml:space="preserve">This group needs to identify as </w:t>
      </w:r>
      <w:r w:rsidR="00EE1FAF">
        <w:t xml:space="preserve">many </w:t>
      </w:r>
      <w:r w:rsidR="003C374D">
        <w:t xml:space="preserve">relevant aspects that require consideration as possible </w:t>
      </w:r>
      <w:r w:rsidR="00EE1FAF">
        <w:t xml:space="preserve">and provide the information listed in the introduction above.  The IUCN publication “Initiating effective transboundary conservation: A practitioner’s guideline based on the experience from the Dinaric Arc” by Erg et al (2012), especially the “Diagnostic tool for transboundary conservation planners: Suggested questions to determine feasibility for transboundary conservation by </w:t>
      </w:r>
      <w:r w:rsidR="00EE1FAF" w:rsidRPr="00EE1FAF">
        <w:t xml:space="preserve">Maja </w:t>
      </w:r>
      <w:proofErr w:type="spellStart"/>
      <w:r w:rsidR="00EE1FAF" w:rsidRPr="00EE1FAF">
        <w:t>Vasilijević</w:t>
      </w:r>
      <w:proofErr w:type="spellEnd"/>
      <w:r w:rsidR="00EE1FAF">
        <w:t xml:space="preserve">, are essential reference material for this and can be downloaded from </w:t>
      </w:r>
      <w:hyperlink r:id="rId8" w:history="1">
        <w:r w:rsidR="00EE1FAF" w:rsidRPr="00EE1FAF">
          <w:rPr>
            <w:rStyle w:val="Hyperlink"/>
          </w:rPr>
          <w:t>http://www.iucn.org/knowledge/publications_doc/publications/?uPubsID=4783</w:t>
        </w:r>
      </w:hyperlink>
      <w:r w:rsidR="00EE1FAF">
        <w:t>.</w:t>
      </w:r>
    </w:p>
    <w:p w:rsidR="00EE26D3" w:rsidRDefault="00EE26D3" w:rsidP="00EE1FAF"/>
    <w:p w:rsidR="00EE26D3" w:rsidRDefault="00EE26D3" w:rsidP="00EE26D3">
      <w:pPr>
        <w:pStyle w:val="Heading2"/>
      </w:pPr>
      <w:r>
        <w:lastRenderedPageBreak/>
        <w:t xml:space="preserve">Small Group C: </w:t>
      </w:r>
      <w:bookmarkStart w:id="3" w:name="_Toc383084000"/>
      <w:r>
        <w:t>Designing the Implementation Process</w:t>
      </w:r>
      <w:bookmarkEnd w:id="3"/>
    </w:p>
    <w:p w:rsidR="00EE26D3" w:rsidRDefault="00EE26D3" w:rsidP="00EE26D3">
      <w:r>
        <w:t xml:space="preserve">It is likely that </w:t>
      </w:r>
      <w:r w:rsidR="00D2147F">
        <w:t>the aspects that will be considered relevant by this group will be covered by the other two, but this possible overlap may be of great value in terms of providing a second opinion.  However, the challenge for this group will be to try to think beyond the first two groups and identify what it is that TFCA proponents need to consider when designing an implementation process.  They could take their cue from the coming section that lists the sequential steps that may be taken in the process of establishing and developing a TFCA.  The details listed in the introduction then need to be used to guide the discussion further.</w:t>
      </w:r>
    </w:p>
    <w:p w:rsidR="00513A75" w:rsidRDefault="00513A75" w:rsidP="00EE26D3"/>
    <w:p w:rsidR="00513A75" w:rsidRDefault="00513A75" w:rsidP="00C271E2">
      <w:pPr>
        <w:pStyle w:val="Heading1"/>
        <w:ind w:left="2977" w:hanging="2977"/>
      </w:pPr>
      <w:r>
        <w:t xml:space="preserve">Small Group Session 3: Focus on Section 7 - </w:t>
      </w:r>
      <w:bookmarkStart w:id="4" w:name="_Toc383084001"/>
      <w:r>
        <w:t>The Establishment and Development of Transfrontier Conservation Areas</w:t>
      </w:r>
      <w:bookmarkEnd w:id="4"/>
    </w:p>
    <w:p w:rsidR="00C271E2" w:rsidRDefault="00C271E2" w:rsidP="00C271E2">
      <w:r>
        <w:t>This section of the Guidelines is essentially the crux and thus reflects the overall heading, and this is therefore where most of the contributions are expected from SADC TFCA Practitioners.  Each of the groups will be required to work with the same template, but relate their discussions and inputs according to the topic given.  The topics are provided below, followed by the template for capturing inputs.</w:t>
      </w:r>
    </w:p>
    <w:p w:rsidR="00C271E2" w:rsidRDefault="00C271E2" w:rsidP="00C271E2"/>
    <w:p w:rsidR="00C271E2" w:rsidRDefault="00C271E2" w:rsidP="00C271E2">
      <w:pPr>
        <w:pStyle w:val="Heading2"/>
      </w:pPr>
      <w:r>
        <w:t>Group A: Securing buy-in and building legitimacy</w:t>
      </w:r>
    </w:p>
    <w:p w:rsidR="00C271E2" w:rsidRDefault="00C271E2" w:rsidP="00C271E2">
      <w:r>
        <w:t>There are three components to this sub-section, namely:</w:t>
      </w:r>
    </w:p>
    <w:p w:rsidR="00C271E2" w:rsidRDefault="00C271E2" w:rsidP="00C271E2">
      <w:pPr>
        <w:pStyle w:val="ListParagraph"/>
        <w:numPr>
          <w:ilvl w:val="0"/>
          <w:numId w:val="17"/>
        </w:numPr>
      </w:pPr>
      <w:r>
        <w:t>At the political level;</w:t>
      </w:r>
    </w:p>
    <w:p w:rsidR="00C271E2" w:rsidRDefault="00C271E2" w:rsidP="00C271E2">
      <w:pPr>
        <w:pStyle w:val="ListParagraph"/>
        <w:numPr>
          <w:ilvl w:val="0"/>
          <w:numId w:val="17"/>
        </w:numPr>
      </w:pPr>
      <w:r>
        <w:t>With peers and related organs of state within and across borders; and</w:t>
      </w:r>
    </w:p>
    <w:p w:rsidR="00C271E2" w:rsidRDefault="00C271E2" w:rsidP="00C271E2">
      <w:pPr>
        <w:pStyle w:val="ListParagraph"/>
        <w:numPr>
          <w:ilvl w:val="0"/>
          <w:numId w:val="17"/>
        </w:numPr>
      </w:pPr>
      <w:r>
        <w:t>With affected communities</w:t>
      </w:r>
      <w:r w:rsidRPr="00C271E2">
        <w:t xml:space="preserve"> </w:t>
      </w:r>
      <w:r>
        <w:t>and interested groupings.</w:t>
      </w:r>
    </w:p>
    <w:p w:rsidR="00C271E2" w:rsidRDefault="00C271E2" w:rsidP="00C271E2"/>
    <w:p w:rsidR="00C271E2" w:rsidRDefault="00C271E2" w:rsidP="00C271E2">
      <w:pPr>
        <w:pStyle w:val="Heading2"/>
        <w:ind w:left="1134" w:hanging="1134"/>
      </w:pPr>
      <w:r>
        <w:t>Group B: Selecting/designing an appropriate governance model and mapping the TFCA</w:t>
      </w:r>
    </w:p>
    <w:p w:rsidR="00A95DE9" w:rsidRDefault="00A95DE9" w:rsidP="00A95DE9">
      <w:r>
        <w:t>It is debatable as to the order in which these two aspects need to be implemented as they can both be used to inform each other.  For the sake of the Guidelines it may be best to accept that the specific circumstances of a particular TFCA initiative will dictate and that proponents and practitioners will need to be sensitive to the prevailing dynamics and allow these t</w:t>
      </w:r>
      <w:r w:rsidR="00670646">
        <w:t>o guide the sequencing of these.</w:t>
      </w:r>
    </w:p>
    <w:p w:rsidR="00670646" w:rsidRDefault="00670646" w:rsidP="00A95DE9"/>
    <w:p w:rsidR="00670646" w:rsidRDefault="00670646" w:rsidP="00670646">
      <w:pPr>
        <w:pStyle w:val="Heading3"/>
      </w:pPr>
      <w:r>
        <w:t>Governance Model</w:t>
      </w:r>
    </w:p>
    <w:p w:rsidR="00670646" w:rsidRDefault="00670646" w:rsidP="00670646">
      <w:r>
        <w:t>Here it will be necessary to take note of the models that are in place as per the section on the Status Quo of SADC TFCAs and provide a critical review of these and some best practice examples.  Also acknowledge that this is an evolutionary proce</w:t>
      </w:r>
      <w:r w:rsidR="007D6F21">
        <w:t>ss</w:t>
      </w:r>
      <w:r>
        <w:t xml:space="preserve"> that develops on a continuum from informal broad agreements, to more formal and spec</w:t>
      </w:r>
      <w:r w:rsidR="007D6F21">
        <w:t xml:space="preserve">ific agreements.  Therefore it is more of a process that needs </w:t>
      </w:r>
      <w:r w:rsidR="007D6F21">
        <w:lastRenderedPageBreak/>
        <w:t>to be recommended based on each TFCAs circumstances, and through this the appropriate governance models may be developed and put in place.</w:t>
      </w:r>
    </w:p>
    <w:p w:rsidR="007D6F21" w:rsidRDefault="007D6F21" w:rsidP="00670646"/>
    <w:p w:rsidR="007D6F21" w:rsidRDefault="007D6F21" w:rsidP="007D6F21">
      <w:pPr>
        <w:pStyle w:val="Heading3"/>
      </w:pPr>
      <w:r>
        <w:t>Mapping</w:t>
      </w:r>
    </w:p>
    <w:p w:rsidR="007D6F21" w:rsidRDefault="007D6F21" w:rsidP="007D6F21">
      <w:r>
        <w:t xml:space="preserve">There are numerous ways in which the geographic extent of a TFCA may be determined, e.g. in consideration of the primary features that are the focus of the initiative, the inclusion of corridors and representative ecosystems, creating linkages between protected areas, application of systematic conservation planning processes to identify the areas required to meet specific conservation targets, etc.  It will be necessary to explore these and make recommendations as to how they may be integrated so that the ultimate boundary that is drawn on a map is </w:t>
      </w:r>
      <w:r w:rsidR="0012626E">
        <w:t>ecologically defendable, socially acceptable and financially viable.  Note also that the process of mapping includes the features both within and adjacent to the TFCA as well as the boundary.</w:t>
      </w:r>
    </w:p>
    <w:p w:rsidR="0012626E" w:rsidRDefault="0012626E" w:rsidP="007D6F21"/>
    <w:p w:rsidR="0012626E" w:rsidRDefault="0012626E" w:rsidP="0012626E">
      <w:pPr>
        <w:pStyle w:val="Heading2"/>
        <w:ind w:left="1134" w:hanging="1134"/>
      </w:pPr>
      <w:r>
        <w:t>Group C: Joint management planning inclusive of the high level framework, detailed short-term planning and monitoring and evaluation</w:t>
      </w:r>
    </w:p>
    <w:p w:rsidR="0012626E" w:rsidRDefault="0012626E" w:rsidP="0012626E">
      <w:r>
        <w:t>This is a significant portion of the content for the Guideline and therefore this group needs to exercise caution so as not to get distracted with too much detail.  The focus needs to rather be on the processes that should be followed to deliver on the management planning framework, the detailed plan and the M&amp;E aspect.  These components of management planning are hierarchical and sequential and must be dealt with in this way during this discussion.  Note also that implicit in the M&amp;E aspect is management effectiveness tracking for which there are international guidelines, but there is also the Performance Appraisal Tool developed by the Peace Parks Foundation in collaboration with SADC TFCA practitioners.  The assumption that this is the right tool for SADC TFCAs needs to be tested in this discussion, and if necessary, alternative suggestions need to be made in this regard.</w:t>
      </w:r>
    </w:p>
    <w:p w:rsidR="00F66C06" w:rsidRDefault="00F66C06" w:rsidP="0012626E"/>
    <w:p w:rsidR="00F66C06" w:rsidRDefault="00F66C06" w:rsidP="00F66C06">
      <w:pPr>
        <w:pStyle w:val="Heading2"/>
      </w:pPr>
      <w:r>
        <w:t>Group D: Planning for financial sustainability</w:t>
      </w:r>
    </w:p>
    <w:p w:rsidR="00924531" w:rsidRDefault="005631C0" w:rsidP="0091424A">
      <w:r>
        <w:t>Conservation initiatives globally tend to be on the back foot as far as financial resources are concerned, and this is no different with SADC TFCAs.  However, if a positive and pro-active approach is taken that looks to understand fully the value of the natural capital inherent within TFCAs, it is possible that a host of opportunities may be identified to ensure their financial sustainability.  This group is required to think beyond the usual approaches that have and are been taken to secure financial resources for TFCA initiatives and list these together with recommendations as to how new and fresh approaches can help to enhance the financial viability of TFCAs, while also increasing their socio-economic relevance.</w:t>
      </w:r>
    </w:p>
    <w:p w:rsidR="005631C0" w:rsidRDefault="005631C0" w:rsidP="0091424A"/>
    <w:p w:rsidR="00A90836" w:rsidRDefault="00A90836" w:rsidP="005631C0">
      <w:pPr>
        <w:pStyle w:val="Heading2"/>
        <w:sectPr w:rsidR="00A90836">
          <w:pgSz w:w="11906" w:h="16838"/>
          <w:pgMar w:top="1440" w:right="1440" w:bottom="1440" w:left="1440" w:header="708" w:footer="708" w:gutter="0"/>
          <w:cols w:space="708"/>
          <w:docGrid w:linePitch="360"/>
        </w:sectPr>
      </w:pPr>
    </w:p>
    <w:p w:rsidR="005631C0" w:rsidRDefault="005631C0" w:rsidP="005631C0">
      <w:pPr>
        <w:pStyle w:val="Heading2"/>
      </w:pPr>
      <w:r>
        <w:lastRenderedPageBreak/>
        <w:t>Template for Capturing Inputs</w:t>
      </w:r>
    </w:p>
    <w:tbl>
      <w:tblPr>
        <w:tblStyle w:val="LightGrid-Accent3"/>
        <w:tblW w:w="0" w:type="auto"/>
        <w:tblLook w:val="04A0" w:firstRow="1" w:lastRow="0" w:firstColumn="1" w:lastColumn="0" w:noHBand="0" w:noVBand="1"/>
      </w:tblPr>
      <w:tblGrid>
        <w:gridCol w:w="2834"/>
        <w:gridCol w:w="2835"/>
        <w:gridCol w:w="2835"/>
        <w:gridCol w:w="2835"/>
        <w:gridCol w:w="2835"/>
      </w:tblGrid>
      <w:tr w:rsidR="008C3F01" w:rsidTr="008C3F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shd w:val="clear" w:color="auto" w:fill="4F6228" w:themeFill="accent3" w:themeFillShade="80"/>
          </w:tcPr>
          <w:p w:rsidR="008C3F01" w:rsidRPr="008C3F01" w:rsidRDefault="008C3F01" w:rsidP="008C3F01">
            <w:pPr>
              <w:jc w:val="center"/>
              <w:rPr>
                <w:b w:val="0"/>
                <w:color w:val="FFFFFF" w:themeColor="background1"/>
              </w:rPr>
            </w:pPr>
            <w:r>
              <w:rPr>
                <w:b w:val="0"/>
                <w:color w:val="FFFFFF" w:themeColor="background1"/>
              </w:rPr>
              <w:t>TOPIC</w:t>
            </w:r>
          </w:p>
        </w:tc>
        <w:tc>
          <w:tcPr>
            <w:tcW w:w="2835" w:type="dxa"/>
            <w:shd w:val="clear" w:color="auto" w:fill="4F6228" w:themeFill="accent3" w:themeFillShade="80"/>
          </w:tcPr>
          <w:p w:rsidR="008C3F01" w:rsidRPr="008C3F01" w:rsidRDefault="008C3F01" w:rsidP="008C3F01">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rPr>
            </w:pPr>
            <w:r>
              <w:rPr>
                <w:b w:val="0"/>
                <w:color w:val="FFFFFF" w:themeColor="background1"/>
              </w:rPr>
              <w:t>SUGGESTED CONTENT</w:t>
            </w:r>
          </w:p>
        </w:tc>
        <w:tc>
          <w:tcPr>
            <w:tcW w:w="2835" w:type="dxa"/>
            <w:shd w:val="clear" w:color="auto" w:fill="4F6228" w:themeFill="accent3" w:themeFillShade="80"/>
          </w:tcPr>
          <w:p w:rsidR="008C3F01" w:rsidRPr="008C3F01" w:rsidRDefault="008C3F01" w:rsidP="008C3F01">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rPr>
            </w:pPr>
            <w:r>
              <w:rPr>
                <w:b w:val="0"/>
                <w:color w:val="FFFFFF" w:themeColor="background1"/>
              </w:rPr>
              <w:t>RELEVANT REFERENCES</w:t>
            </w:r>
          </w:p>
        </w:tc>
        <w:tc>
          <w:tcPr>
            <w:tcW w:w="2835" w:type="dxa"/>
            <w:shd w:val="clear" w:color="auto" w:fill="4F6228" w:themeFill="accent3" w:themeFillShade="80"/>
          </w:tcPr>
          <w:p w:rsidR="008C3F01" w:rsidRPr="008C3F01" w:rsidRDefault="008C3F01" w:rsidP="008C3F01">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rPr>
            </w:pPr>
            <w:r>
              <w:rPr>
                <w:b w:val="0"/>
                <w:color w:val="FFFFFF" w:themeColor="background1"/>
              </w:rPr>
              <w:t>POTENTIAL CONTRIBUTORS</w:t>
            </w:r>
          </w:p>
        </w:tc>
        <w:tc>
          <w:tcPr>
            <w:tcW w:w="2835" w:type="dxa"/>
            <w:shd w:val="clear" w:color="auto" w:fill="4F6228" w:themeFill="accent3" w:themeFillShade="80"/>
          </w:tcPr>
          <w:p w:rsidR="008C3F01" w:rsidRPr="008C3F01" w:rsidRDefault="008C3F01" w:rsidP="008C3F01">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rPr>
            </w:pPr>
            <w:r>
              <w:rPr>
                <w:b w:val="0"/>
                <w:color w:val="FFFFFF" w:themeColor="background1"/>
              </w:rPr>
              <w:t>POTENTIAL CASE STUDIES</w:t>
            </w:r>
          </w:p>
        </w:tc>
      </w:tr>
      <w:tr w:rsidR="008C3F01" w:rsidTr="008C3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tcPr>
          <w:p w:rsidR="008C3F01" w:rsidRDefault="008C3F01" w:rsidP="005631C0">
            <w:pPr>
              <w:rPr>
                <w:rFonts w:asciiTheme="minorHAnsi" w:hAnsiTheme="minorHAnsi"/>
                <w:b w:val="0"/>
              </w:rPr>
            </w:pPr>
            <w:r w:rsidRPr="008C3F01">
              <w:rPr>
                <w:rFonts w:asciiTheme="minorHAnsi" w:hAnsiTheme="minorHAnsi"/>
              </w:rPr>
              <w:t>Group A</w:t>
            </w:r>
            <w:r w:rsidRPr="008C3F01">
              <w:rPr>
                <w:rFonts w:asciiTheme="minorHAnsi" w:hAnsiTheme="minorHAnsi"/>
                <w:b w:val="0"/>
              </w:rPr>
              <w:t>: Securing buy-in and building legitimacy:</w:t>
            </w:r>
          </w:p>
          <w:p w:rsidR="008C3F01" w:rsidRPr="008C3F01" w:rsidRDefault="008C3F01" w:rsidP="008C3F01">
            <w:pPr>
              <w:rPr>
                <w:rFonts w:asciiTheme="minorHAnsi" w:hAnsiTheme="minorHAnsi"/>
                <w:b w:val="0"/>
              </w:rPr>
            </w:pPr>
            <w:r>
              <w:rPr>
                <w:rFonts w:asciiTheme="minorHAnsi" w:hAnsiTheme="minorHAnsi"/>
                <w:b w:val="0"/>
              </w:rPr>
              <w:t>•</w:t>
            </w:r>
            <w:r w:rsidRPr="008C3F01">
              <w:rPr>
                <w:rFonts w:asciiTheme="minorHAnsi" w:hAnsiTheme="minorHAnsi"/>
                <w:b w:val="0"/>
              </w:rPr>
              <w:t>At the political level</w:t>
            </w:r>
          </w:p>
        </w:tc>
        <w:tc>
          <w:tcPr>
            <w:tcW w:w="2835" w:type="dxa"/>
          </w:tcPr>
          <w:p w:rsidR="008C3F01" w:rsidRDefault="008C3F01" w:rsidP="005631C0">
            <w:pPr>
              <w:cnfStyle w:val="000000100000" w:firstRow="0" w:lastRow="0" w:firstColumn="0" w:lastColumn="0" w:oddVBand="0" w:evenVBand="0" w:oddHBand="1" w:evenHBand="0" w:firstRowFirstColumn="0" w:firstRowLastColumn="0" w:lastRowFirstColumn="0" w:lastRowLastColumn="0"/>
            </w:pPr>
          </w:p>
        </w:tc>
        <w:tc>
          <w:tcPr>
            <w:tcW w:w="2835" w:type="dxa"/>
          </w:tcPr>
          <w:p w:rsidR="008C3F01" w:rsidRDefault="008C3F01" w:rsidP="005631C0">
            <w:pPr>
              <w:cnfStyle w:val="000000100000" w:firstRow="0" w:lastRow="0" w:firstColumn="0" w:lastColumn="0" w:oddVBand="0" w:evenVBand="0" w:oddHBand="1" w:evenHBand="0" w:firstRowFirstColumn="0" w:firstRowLastColumn="0" w:lastRowFirstColumn="0" w:lastRowLastColumn="0"/>
            </w:pPr>
          </w:p>
        </w:tc>
        <w:tc>
          <w:tcPr>
            <w:tcW w:w="2835" w:type="dxa"/>
          </w:tcPr>
          <w:p w:rsidR="008C3F01" w:rsidRDefault="008C3F01" w:rsidP="005631C0">
            <w:pPr>
              <w:cnfStyle w:val="000000100000" w:firstRow="0" w:lastRow="0" w:firstColumn="0" w:lastColumn="0" w:oddVBand="0" w:evenVBand="0" w:oddHBand="1" w:evenHBand="0" w:firstRowFirstColumn="0" w:firstRowLastColumn="0" w:lastRowFirstColumn="0" w:lastRowLastColumn="0"/>
            </w:pPr>
          </w:p>
        </w:tc>
        <w:tc>
          <w:tcPr>
            <w:tcW w:w="2835" w:type="dxa"/>
          </w:tcPr>
          <w:p w:rsidR="008C3F01" w:rsidRDefault="008C3F01" w:rsidP="005631C0">
            <w:pPr>
              <w:cnfStyle w:val="000000100000" w:firstRow="0" w:lastRow="0" w:firstColumn="0" w:lastColumn="0" w:oddVBand="0" w:evenVBand="0" w:oddHBand="1" w:evenHBand="0" w:firstRowFirstColumn="0" w:firstRowLastColumn="0" w:lastRowFirstColumn="0" w:lastRowLastColumn="0"/>
            </w:pPr>
          </w:p>
        </w:tc>
      </w:tr>
      <w:tr w:rsidR="008C3F01" w:rsidTr="008C3F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tcPr>
          <w:p w:rsidR="008C3F01" w:rsidRPr="008C3F01" w:rsidRDefault="008C3F01" w:rsidP="00FB7CEC">
            <w:pPr>
              <w:ind w:left="142" w:hanging="142"/>
              <w:rPr>
                <w:rFonts w:asciiTheme="minorHAnsi" w:hAnsiTheme="minorHAnsi"/>
                <w:b w:val="0"/>
              </w:rPr>
            </w:pPr>
            <w:r>
              <w:rPr>
                <w:rFonts w:asciiTheme="minorHAnsi" w:hAnsiTheme="minorHAnsi"/>
                <w:b w:val="0"/>
              </w:rPr>
              <w:t>•</w:t>
            </w:r>
            <w:r w:rsidRPr="008C3F01">
              <w:rPr>
                <w:rFonts w:asciiTheme="minorHAnsi" w:hAnsiTheme="minorHAnsi"/>
                <w:b w:val="0"/>
              </w:rPr>
              <w:t>With peers and related organs of state within and across borders</w:t>
            </w:r>
          </w:p>
        </w:tc>
        <w:tc>
          <w:tcPr>
            <w:tcW w:w="2835" w:type="dxa"/>
          </w:tcPr>
          <w:p w:rsidR="008C3F01" w:rsidRDefault="008C3F01" w:rsidP="005631C0">
            <w:pPr>
              <w:cnfStyle w:val="000000010000" w:firstRow="0" w:lastRow="0" w:firstColumn="0" w:lastColumn="0" w:oddVBand="0" w:evenVBand="0" w:oddHBand="0" w:evenHBand="1" w:firstRowFirstColumn="0" w:firstRowLastColumn="0" w:lastRowFirstColumn="0" w:lastRowLastColumn="0"/>
            </w:pPr>
          </w:p>
        </w:tc>
        <w:tc>
          <w:tcPr>
            <w:tcW w:w="2835" w:type="dxa"/>
          </w:tcPr>
          <w:p w:rsidR="008C3F01" w:rsidRDefault="008C3F01" w:rsidP="005631C0">
            <w:pPr>
              <w:cnfStyle w:val="000000010000" w:firstRow="0" w:lastRow="0" w:firstColumn="0" w:lastColumn="0" w:oddVBand="0" w:evenVBand="0" w:oddHBand="0" w:evenHBand="1" w:firstRowFirstColumn="0" w:firstRowLastColumn="0" w:lastRowFirstColumn="0" w:lastRowLastColumn="0"/>
            </w:pPr>
          </w:p>
        </w:tc>
        <w:tc>
          <w:tcPr>
            <w:tcW w:w="2835" w:type="dxa"/>
          </w:tcPr>
          <w:p w:rsidR="008C3F01" w:rsidRDefault="008C3F01" w:rsidP="005631C0">
            <w:pPr>
              <w:cnfStyle w:val="000000010000" w:firstRow="0" w:lastRow="0" w:firstColumn="0" w:lastColumn="0" w:oddVBand="0" w:evenVBand="0" w:oddHBand="0" w:evenHBand="1" w:firstRowFirstColumn="0" w:firstRowLastColumn="0" w:lastRowFirstColumn="0" w:lastRowLastColumn="0"/>
            </w:pPr>
          </w:p>
        </w:tc>
        <w:tc>
          <w:tcPr>
            <w:tcW w:w="2835" w:type="dxa"/>
          </w:tcPr>
          <w:p w:rsidR="008C3F01" w:rsidRDefault="008C3F01" w:rsidP="005631C0">
            <w:pPr>
              <w:cnfStyle w:val="000000010000" w:firstRow="0" w:lastRow="0" w:firstColumn="0" w:lastColumn="0" w:oddVBand="0" w:evenVBand="0" w:oddHBand="0" w:evenHBand="1" w:firstRowFirstColumn="0" w:firstRowLastColumn="0" w:lastRowFirstColumn="0" w:lastRowLastColumn="0"/>
            </w:pPr>
          </w:p>
        </w:tc>
      </w:tr>
      <w:tr w:rsidR="008C3F01" w:rsidTr="008C3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tcPr>
          <w:p w:rsidR="008C3F01" w:rsidRPr="008C3F01" w:rsidRDefault="008C3F01" w:rsidP="00FB7CEC">
            <w:pPr>
              <w:ind w:left="142" w:hanging="142"/>
              <w:rPr>
                <w:rFonts w:asciiTheme="minorHAnsi" w:hAnsiTheme="minorHAnsi"/>
                <w:b w:val="0"/>
              </w:rPr>
            </w:pPr>
            <w:r>
              <w:rPr>
                <w:rFonts w:asciiTheme="minorHAnsi" w:hAnsiTheme="minorHAnsi"/>
                <w:b w:val="0"/>
              </w:rPr>
              <w:t>•</w:t>
            </w:r>
            <w:r w:rsidRPr="008C3F01">
              <w:rPr>
                <w:rFonts w:asciiTheme="minorHAnsi" w:hAnsiTheme="minorHAnsi"/>
                <w:b w:val="0"/>
              </w:rPr>
              <w:t xml:space="preserve">With affected communities </w:t>
            </w:r>
            <w:bookmarkStart w:id="5" w:name="_GoBack"/>
            <w:bookmarkEnd w:id="5"/>
            <w:r w:rsidRPr="008C3F01">
              <w:rPr>
                <w:rFonts w:asciiTheme="minorHAnsi" w:hAnsiTheme="minorHAnsi"/>
                <w:b w:val="0"/>
              </w:rPr>
              <w:t>and interested groupings</w:t>
            </w:r>
          </w:p>
        </w:tc>
        <w:tc>
          <w:tcPr>
            <w:tcW w:w="2835" w:type="dxa"/>
          </w:tcPr>
          <w:p w:rsidR="008C3F01" w:rsidRDefault="008C3F01" w:rsidP="005631C0">
            <w:pPr>
              <w:cnfStyle w:val="000000100000" w:firstRow="0" w:lastRow="0" w:firstColumn="0" w:lastColumn="0" w:oddVBand="0" w:evenVBand="0" w:oddHBand="1" w:evenHBand="0" w:firstRowFirstColumn="0" w:firstRowLastColumn="0" w:lastRowFirstColumn="0" w:lastRowLastColumn="0"/>
            </w:pPr>
          </w:p>
        </w:tc>
        <w:tc>
          <w:tcPr>
            <w:tcW w:w="2835" w:type="dxa"/>
          </w:tcPr>
          <w:p w:rsidR="008C3F01" w:rsidRDefault="008C3F01" w:rsidP="005631C0">
            <w:pPr>
              <w:cnfStyle w:val="000000100000" w:firstRow="0" w:lastRow="0" w:firstColumn="0" w:lastColumn="0" w:oddVBand="0" w:evenVBand="0" w:oddHBand="1" w:evenHBand="0" w:firstRowFirstColumn="0" w:firstRowLastColumn="0" w:lastRowFirstColumn="0" w:lastRowLastColumn="0"/>
            </w:pPr>
          </w:p>
        </w:tc>
        <w:tc>
          <w:tcPr>
            <w:tcW w:w="2835" w:type="dxa"/>
          </w:tcPr>
          <w:p w:rsidR="008C3F01" w:rsidRDefault="008C3F01" w:rsidP="005631C0">
            <w:pPr>
              <w:cnfStyle w:val="000000100000" w:firstRow="0" w:lastRow="0" w:firstColumn="0" w:lastColumn="0" w:oddVBand="0" w:evenVBand="0" w:oddHBand="1" w:evenHBand="0" w:firstRowFirstColumn="0" w:firstRowLastColumn="0" w:lastRowFirstColumn="0" w:lastRowLastColumn="0"/>
            </w:pPr>
          </w:p>
        </w:tc>
        <w:tc>
          <w:tcPr>
            <w:tcW w:w="2835" w:type="dxa"/>
          </w:tcPr>
          <w:p w:rsidR="008C3F01" w:rsidRDefault="008C3F01" w:rsidP="005631C0">
            <w:pPr>
              <w:cnfStyle w:val="000000100000" w:firstRow="0" w:lastRow="0" w:firstColumn="0" w:lastColumn="0" w:oddVBand="0" w:evenVBand="0" w:oddHBand="1" w:evenHBand="0" w:firstRowFirstColumn="0" w:firstRowLastColumn="0" w:lastRowFirstColumn="0" w:lastRowLastColumn="0"/>
            </w:pPr>
          </w:p>
        </w:tc>
      </w:tr>
      <w:tr w:rsidR="008C3F01" w:rsidTr="008C3F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tcPr>
          <w:p w:rsidR="008C3F01" w:rsidRPr="008C3F01" w:rsidRDefault="008C3F01" w:rsidP="005631C0">
            <w:pPr>
              <w:rPr>
                <w:rFonts w:asciiTheme="minorHAnsi" w:hAnsiTheme="minorHAnsi"/>
                <w:b w:val="0"/>
              </w:rPr>
            </w:pPr>
            <w:r w:rsidRPr="008C3F01">
              <w:rPr>
                <w:rFonts w:asciiTheme="minorHAnsi" w:hAnsiTheme="minorHAnsi"/>
              </w:rPr>
              <w:t>Group B</w:t>
            </w:r>
            <w:r w:rsidRPr="008C3F01">
              <w:rPr>
                <w:rFonts w:asciiTheme="minorHAnsi" w:hAnsiTheme="minorHAnsi"/>
                <w:b w:val="0"/>
              </w:rPr>
              <w:t>:</w:t>
            </w:r>
          </w:p>
          <w:p w:rsidR="008C3F01" w:rsidRPr="008C3F01" w:rsidRDefault="008C3F01" w:rsidP="008C3F01">
            <w:pPr>
              <w:pStyle w:val="ListParagraph"/>
              <w:numPr>
                <w:ilvl w:val="0"/>
                <w:numId w:val="18"/>
              </w:numPr>
              <w:ind w:left="142" w:hanging="142"/>
              <w:rPr>
                <w:rFonts w:asciiTheme="minorHAnsi" w:hAnsiTheme="minorHAnsi"/>
                <w:b w:val="0"/>
              </w:rPr>
            </w:pPr>
            <w:r w:rsidRPr="008C3F01">
              <w:rPr>
                <w:rFonts w:asciiTheme="minorHAnsi" w:hAnsiTheme="minorHAnsi"/>
                <w:b w:val="0"/>
              </w:rPr>
              <w:t>Selecting/designing an appropriate governance model</w:t>
            </w:r>
          </w:p>
        </w:tc>
        <w:tc>
          <w:tcPr>
            <w:tcW w:w="2835" w:type="dxa"/>
          </w:tcPr>
          <w:p w:rsidR="008C3F01" w:rsidRDefault="008C3F01" w:rsidP="005631C0">
            <w:pPr>
              <w:cnfStyle w:val="000000010000" w:firstRow="0" w:lastRow="0" w:firstColumn="0" w:lastColumn="0" w:oddVBand="0" w:evenVBand="0" w:oddHBand="0" w:evenHBand="1" w:firstRowFirstColumn="0" w:firstRowLastColumn="0" w:lastRowFirstColumn="0" w:lastRowLastColumn="0"/>
            </w:pPr>
          </w:p>
        </w:tc>
        <w:tc>
          <w:tcPr>
            <w:tcW w:w="2835" w:type="dxa"/>
          </w:tcPr>
          <w:p w:rsidR="008C3F01" w:rsidRDefault="008C3F01" w:rsidP="005631C0">
            <w:pPr>
              <w:cnfStyle w:val="000000010000" w:firstRow="0" w:lastRow="0" w:firstColumn="0" w:lastColumn="0" w:oddVBand="0" w:evenVBand="0" w:oddHBand="0" w:evenHBand="1" w:firstRowFirstColumn="0" w:firstRowLastColumn="0" w:lastRowFirstColumn="0" w:lastRowLastColumn="0"/>
            </w:pPr>
          </w:p>
        </w:tc>
        <w:tc>
          <w:tcPr>
            <w:tcW w:w="2835" w:type="dxa"/>
          </w:tcPr>
          <w:p w:rsidR="008C3F01" w:rsidRDefault="008C3F01" w:rsidP="005631C0">
            <w:pPr>
              <w:cnfStyle w:val="000000010000" w:firstRow="0" w:lastRow="0" w:firstColumn="0" w:lastColumn="0" w:oddVBand="0" w:evenVBand="0" w:oddHBand="0" w:evenHBand="1" w:firstRowFirstColumn="0" w:firstRowLastColumn="0" w:lastRowFirstColumn="0" w:lastRowLastColumn="0"/>
            </w:pPr>
          </w:p>
        </w:tc>
        <w:tc>
          <w:tcPr>
            <w:tcW w:w="2835" w:type="dxa"/>
          </w:tcPr>
          <w:p w:rsidR="008C3F01" w:rsidRDefault="008C3F01" w:rsidP="005631C0">
            <w:pPr>
              <w:cnfStyle w:val="000000010000" w:firstRow="0" w:lastRow="0" w:firstColumn="0" w:lastColumn="0" w:oddVBand="0" w:evenVBand="0" w:oddHBand="0" w:evenHBand="1" w:firstRowFirstColumn="0" w:firstRowLastColumn="0" w:lastRowFirstColumn="0" w:lastRowLastColumn="0"/>
            </w:pPr>
          </w:p>
        </w:tc>
      </w:tr>
      <w:tr w:rsidR="008C3F01" w:rsidTr="008C3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tcPr>
          <w:p w:rsidR="008C3F01" w:rsidRPr="008C3F01" w:rsidRDefault="008C3F01" w:rsidP="008C3F01">
            <w:pPr>
              <w:pStyle w:val="ListParagraph"/>
              <w:numPr>
                <w:ilvl w:val="0"/>
                <w:numId w:val="18"/>
              </w:numPr>
              <w:ind w:left="142" w:hanging="142"/>
              <w:rPr>
                <w:rFonts w:asciiTheme="minorHAnsi" w:hAnsiTheme="minorHAnsi"/>
                <w:b w:val="0"/>
              </w:rPr>
            </w:pPr>
            <w:r w:rsidRPr="008C3F01">
              <w:rPr>
                <w:rFonts w:asciiTheme="minorHAnsi" w:hAnsiTheme="minorHAnsi"/>
                <w:b w:val="0"/>
              </w:rPr>
              <w:t>mapping the TFCA</w:t>
            </w:r>
          </w:p>
        </w:tc>
        <w:tc>
          <w:tcPr>
            <w:tcW w:w="2835" w:type="dxa"/>
          </w:tcPr>
          <w:p w:rsidR="008C3F01" w:rsidRDefault="008C3F01" w:rsidP="005631C0">
            <w:pPr>
              <w:cnfStyle w:val="000000100000" w:firstRow="0" w:lastRow="0" w:firstColumn="0" w:lastColumn="0" w:oddVBand="0" w:evenVBand="0" w:oddHBand="1" w:evenHBand="0" w:firstRowFirstColumn="0" w:firstRowLastColumn="0" w:lastRowFirstColumn="0" w:lastRowLastColumn="0"/>
            </w:pPr>
          </w:p>
        </w:tc>
        <w:tc>
          <w:tcPr>
            <w:tcW w:w="2835" w:type="dxa"/>
          </w:tcPr>
          <w:p w:rsidR="008C3F01" w:rsidRDefault="008C3F01" w:rsidP="005631C0">
            <w:pPr>
              <w:cnfStyle w:val="000000100000" w:firstRow="0" w:lastRow="0" w:firstColumn="0" w:lastColumn="0" w:oddVBand="0" w:evenVBand="0" w:oddHBand="1" w:evenHBand="0" w:firstRowFirstColumn="0" w:firstRowLastColumn="0" w:lastRowFirstColumn="0" w:lastRowLastColumn="0"/>
            </w:pPr>
          </w:p>
        </w:tc>
        <w:tc>
          <w:tcPr>
            <w:tcW w:w="2835" w:type="dxa"/>
          </w:tcPr>
          <w:p w:rsidR="008C3F01" w:rsidRDefault="008C3F01" w:rsidP="005631C0">
            <w:pPr>
              <w:cnfStyle w:val="000000100000" w:firstRow="0" w:lastRow="0" w:firstColumn="0" w:lastColumn="0" w:oddVBand="0" w:evenVBand="0" w:oddHBand="1" w:evenHBand="0" w:firstRowFirstColumn="0" w:firstRowLastColumn="0" w:lastRowFirstColumn="0" w:lastRowLastColumn="0"/>
            </w:pPr>
          </w:p>
        </w:tc>
        <w:tc>
          <w:tcPr>
            <w:tcW w:w="2835" w:type="dxa"/>
          </w:tcPr>
          <w:p w:rsidR="008C3F01" w:rsidRDefault="008C3F01" w:rsidP="005631C0">
            <w:pPr>
              <w:cnfStyle w:val="000000100000" w:firstRow="0" w:lastRow="0" w:firstColumn="0" w:lastColumn="0" w:oddVBand="0" w:evenVBand="0" w:oddHBand="1" w:evenHBand="0" w:firstRowFirstColumn="0" w:firstRowLastColumn="0" w:lastRowFirstColumn="0" w:lastRowLastColumn="0"/>
            </w:pPr>
          </w:p>
        </w:tc>
      </w:tr>
      <w:tr w:rsidR="008C3F01" w:rsidTr="008C3F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tcPr>
          <w:p w:rsidR="008C3F01" w:rsidRPr="00FB7CEC" w:rsidRDefault="008C3F01" w:rsidP="005631C0">
            <w:pPr>
              <w:rPr>
                <w:rFonts w:asciiTheme="minorHAnsi" w:hAnsiTheme="minorHAnsi"/>
                <w:b w:val="0"/>
              </w:rPr>
            </w:pPr>
            <w:r w:rsidRPr="00FB7CEC">
              <w:rPr>
                <w:rFonts w:asciiTheme="minorHAnsi" w:hAnsiTheme="minorHAnsi"/>
              </w:rPr>
              <w:t>Group C</w:t>
            </w:r>
            <w:r w:rsidRPr="00FB7CEC">
              <w:rPr>
                <w:rFonts w:asciiTheme="minorHAnsi" w:hAnsiTheme="minorHAnsi"/>
                <w:b w:val="0"/>
              </w:rPr>
              <w:t>: Joint management planning inclusive of:</w:t>
            </w:r>
          </w:p>
          <w:p w:rsidR="008C3F01" w:rsidRPr="00FB7CEC" w:rsidRDefault="008C3F01" w:rsidP="008C3F01">
            <w:pPr>
              <w:pStyle w:val="ListParagraph"/>
              <w:numPr>
                <w:ilvl w:val="0"/>
                <w:numId w:val="19"/>
              </w:numPr>
              <w:ind w:left="142" w:hanging="142"/>
              <w:rPr>
                <w:rFonts w:asciiTheme="minorHAnsi" w:hAnsiTheme="minorHAnsi"/>
                <w:b w:val="0"/>
              </w:rPr>
            </w:pPr>
            <w:r w:rsidRPr="00FB7CEC">
              <w:rPr>
                <w:rFonts w:asciiTheme="minorHAnsi" w:hAnsiTheme="minorHAnsi"/>
                <w:b w:val="0"/>
              </w:rPr>
              <w:t>High level framework</w:t>
            </w:r>
          </w:p>
        </w:tc>
        <w:tc>
          <w:tcPr>
            <w:tcW w:w="2835" w:type="dxa"/>
          </w:tcPr>
          <w:p w:rsidR="008C3F01" w:rsidRDefault="008C3F01" w:rsidP="005631C0">
            <w:pPr>
              <w:cnfStyle w:val="000000010000" w:firstRow="0" w:lastRow="0" w:firstColumn="0" w:lastColumn="0" w:oddVBand="0" w:evenVBand="0" w:oddHBand="0" w:evenHBand="1" w:firstRowFirstColumn="0" w:firstRowLastColumn="0" w:lastRowFirstColumn="0" w:lastRowLastColumn="0"/>
            </w:pPr>
          </w:p>
        </w:tc>
        <w:tc>
          <w:tcPr>
            <w:tcW w:w="2835" w:type="dxa"/>
          </w:tcPr>
          <w:p w:rsidR="008C3F01" w:rsidRDefault="008C3F01" w:rsidP="005631C0">
            <w:pPr>
              <w:cnfStyle w:val="000000010000" w:firstRow="0" w:lastRow="0" w:firstColumn="0" w:lastColumn="0" w:oddVBand="0" w:evenVBand="0" w:oddHBand="0" w:evenHBand="1" w:firstRowFirstColumn="0" w:firstRowLastColumn="0" w:lastRowFirstColumn="0" w:lastRowLastColumn="0"/>
            </w:pPr>
          </w:p>
        </w:tc>
        <w:tc>
          <w:tcPr>
            <w:tcW w:w="2835" w:type="dxa"/>
          </w:tcPr>
          <w:p w:rsidR="008C3F01" w:rsidRDefault="008C3F01" w:rsidP="005631C0">
            <w:pPr>
              <w:cnfStyle w:val="000000010000" w:firstRow="0" w:lastRow="0" w:firstColumn="0" w:lastColumn="0" w:oddVBand="0" w:evenVBand="0" w:oddHBand="0" w:evenHBand="1" w:firstRowFirstColumn="0" w:firstRowLastColumn="0" w:lastRowFirstColumn="0" w:lastRowLastColumn="0"/>
            </w:pPr>
          </w:p>
        </w:tc>
        <w:tc>
          <w:tcPr>
            <w:tcW w:w="2835" w:type="dxa"/>
          </w:tcPr>
          <w:p w:rsidR="008C3F01" w:rsidRDefault="008C3F01" w:rsidP="005631C0">
            <w:pPr>
              <w:cnfStyle w:val="000000010000" w:firstRow="0" w:lastRow="0" w:firstColumn="0" w:lastColumn="0" w:oddVBand="0" w:evenVBand="0" w:oddHBand="0" w:evenHBand="1" w:firstRowFirstColumn="0" w:firstRowLastColumn="0" w:lastRowFirstColumn="0" w:lastRowLastColumn="0"/>
            </w:pPr>
          </w:p>
        </w:tc>
      </w:tr>
      <w:tr w:rsidR="008C3F01" w:rsidTr="008C3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tcPr>
          <w:p w:rsidR="008C3F01" w:rsidRPr="00FB7CEC" w:rsidRDefault="008C3F01" w:rsidP="008C3F01">
            <w:pPr>
              <w:pStyle w:val="ListParagraph"/>
              <w:numPr>
                <w:ilvl w:val="0"/>
                <w:numId w:val="19"/>
              </w:numPr>
              <w:ind w:left="142" w:hanging="142"/>
              <w:rPr>
                <w:rFonts w:asciiTheme="minorHAnsi" w:hAnsiTheme="minorHAnsi"/>
                <w:b w:val="0"/>
              </w:rPr>
            </w:pPr>
            <w:r w:rsidRPr="00FB7CEC">
              <w:rPr>
                <w:rFonts w:asciiTheme="minorHAnsi" w:hAnsiTheme="minorHAnsi"/>
                <w:b w:val="0"/>
              </w:rPr>
              <w:t>D</w:t>
            </w:r>
            <w:r w:rsidRPr="00FB7CEC">
              <w:rPr>
                <w:rFonts w:asciiTheme="minorHAnsi" w:hAnsiTheme="minorHAnsi"/>
                <w:b w:val="0"/>
              </w:rPr>
              <w:t>etailed short-t</w:t>
            </w:r>
            <w:r w:rsidRPr="00FB7CEC">
              <w:rPr>
                <w:rFonts w:asciiTheme="minorHAnsi" w:hAnsiTheme="minorHAnsi"/>
                <w:b w:val="0"/>
              </w:rPr>
              <w:t xml:space="preserve">erm planning </w:t>
            </w:r>
          </w:p>
        </w:tc>
        <w:tc>
          <w:tcPr>
            <w:tcW w:w="2835" w:type="dxa"/>
          </w:tcPr>
          <w:p w:rsidR="008C3F01" w:rsidRDefault="008C3F01" w:rsidP="005631C0">
            <w:pPr>
              <w:cnfStyle w:val="000000100000" w:firstRow="0" w:lastRow="0" w:firstColumn="0" w:lastColumn="0" w:oddVBand="0" w:evenVBand="0" w:oddHBand="1" w:evenHBand="0" w:firstRowFirstColumn="0" w:firstRowLastColumn="0" w:lastRowFirstColumn="0" w:lastRowLastColumn="0"/>
            </w:pPr>
          </w:p>
        </w:tc>
        <w:tc>
          <w:tcPr>
            <w:tcW w:w="2835" w:type="dxa"/>
          </w:tcPr>
          <w:p w:rsidR="008C3F01" w:rsidRDefault="008C3F01" w:rsidP="005631C0">
            <w:pPr>
              <w:cnfStyle w:val="000000100000" w:firstRow="0" w:lastRow="0" w:firstColumn="0" w:lastColumn="0" w:oddVBand="0" w:evenVBand="0" w:oddHBand="1" w:evenHBand="0" w:firstRowFirstColumn="0" w:firstRowLastColumn="0" w:lastRowFirstColumn="0" w:lastRowLastColumn="0"/>
            </w:pPr>
          </w:p>
        </w:tc>
        <w:tc>
          <w:tcPr>
            <w:tcW w:w="2835" w:type="dxa"/>
          </w:tcPr>
          <w:p w:rsidR="008C3F01" w:rsidRDefault="008C3F01" w:rsidP="005631C0">
            <w:pPr>
              <w:cnfStyle w:val="000000100000" w:firstRow="0" w:lastRow="0" w:firstColumn="0" w:lastColumn="0" w:oddVBand="0" w:evenVBand="0" w:oddHBand="1" w:evenHBand="0" w:firstRowFirstColumn="0" w:firstRowLastColumn="0" w:lastRowFirstColumn="0" w:lastRowLastColumn="0"/>
            </w:pPr>
          </w:p>
        </w:tc>
        <w:tc>
          <w:tcPr>
            <w:tcW w:w="2835" w:type="dxa"/>
          </w:tcPr>
          <w:p w:rsidR="008C3F01" w:rsidRDefault="008C3F01" w:rsidP="005631C0">
            <w:pPr>
              <w:cnfStyle w:val="000000100000" w:firstRow="0" w:lastRow="0" w:firstColumn="0" w:lastColumn="0" w:oddVBand="0" w:evenVBand="0" w:oddHBand="1" w:evenHBand="0" w:firstRowFirstColumn="0" w:firstRowLastColumn="0" w:lastRowFirstColumn="0" w:lastRowLastColumn="0"/>
            </w:pPr>
          </w:p>
        </w:tc>
      </w:tr>
      <w:tr w:rsidR="008C3F01" w:rsidTr="008C3F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tcPr>
          <w:p w:rsidR="008C3F01" w:rsidRPr="00FB7CEC" w:rsidRDefault="00FB7CEC" w:rsidP="008C3F01">
            <w:pPr>
              <w:pStyle w:val="ListParagraph"/>
              <w:numPr>
                <w:ilvl w:val="0"/>
                <w:numId w:val="19"/>
              </w:numPr>
              <w:ind w:left="142" w:hanging="142"/>
              <w:rPr>
                <w:rFonts w:asciiTheme="minorHAnsi" w:hAnsiTheme="minorHAnsi"/>
                <w:b w:val="0"/>
                <w:bCs w:val="0"/>
              </w:rPr>
            </w:pPr>
            <w:r w:rsidRPr="00FB7CEC">
              <w:rPr>
                <w:rFonts w:asciiTheme="minorHAnsi" w:hAnsiTheme="minorHAnsi"/>
                <w:b w:val="0"/>
              </w:rPr>
              <w:t>M</w:t>
            </w:r>
            <w:r w:rsidR="008C3F01" w:rsidRPr="00FB7CEC">
              <w:rPr>
                <w:rFonts w:asciiTheme="minorHAnsi" w:hAnsiTheme="minorHAnsi"/>
                <w:b w:val="0"/>
              </w:rPr>
              <w:t>onitoring and evaluation</w:t>
            </w:r>
          </w:p>
        </w:tc>
        <w:tc>
          <w:tcPr>
            <w:tcW w:w="2835" w:type="dxa"/>
          </w:tcPr>
          <w:p w:rsidR="008C3F01" w:rsidRDefault="008C3F01" w:rsidP="005631C0">
            <w:pPr>
              <w:cnfStyle w:val="000000010000" w:firstRow="0" w:lastRow="0" w:firstColumn="0" w:lastColumn="0" w:oddVBand="0" w:evenVBand="0" w:oddHBand="0" w:evenHBand="1" w:firstRowFirstColumn="0" w:firstRowLastColumn="0" w:lastRowFirstColumn="0" w:lastRowLastColumn="0"/>
            </w:pPr>
          </w:p>
        </w:tc>
        <w:tc>
          <w:tcPr>
            <w:tcW w:w="2835" w:type="dxa"/>
          </w:tcPr>
          <w:p w:rsidR="008C3F01" w:rsidRDefault="008C3F01" w:rsidP="005631C0">
            <w:pPr>
              <w:cnfStyle w:val="000000010000" w:firstRow="0" w:lastRow="0" w:firstColumn="0" w:lastColumn="0" w:oddVBand="0" w:evenVBand="0" w:oddHBand="0" w:evenHBand="1" w:firstRowFirstColumn="0" w:firstRowLastColumn="0" w:lastRowFirstColumn="0" w:lastRowLastColumn="0"/>
            </w:pPr>
          </w:p>
        </w:tc>
        <w:tc>
          <w:tcPr>
            <w:tcW w:w="2835" w:type="dxa"/>
          </w:tcPr>
          <w:p w:rsidR="008C3F01" w:rsidRDefault="008C3F01" w:rsidP="005631C0">
            <w:pPr>
              <w:cnfStyle w:val="000000010000" w:firstRow="0" w:lastRow="0" w:firstColumn="0" w:lastColumn="0" w:oddVBand="0" w:evenVBand="0" w:oddHBand="0" w:evenHBand="1" w:firstRowFirstColumn="0" w:firstRowLastColumn="0" w:lastRowFirstColumn="0" w:lastRowLastColumn="0"/>
            </w:pPr>
          </w:p>
        </w:tc>
        <w:tc>
          <w:tcPr>
            <w:tcW w:w="2835" w:type="dxa"/>
          </w:tcPr>
          <w:p w:rsidR="008C3F01" w:rsidRDefault="008C3F01" w:rsidP="005631C0">
            <w:pPr>
              <w:cnfStyle w:val="000000010000" w:firstRow="0" w:lastRow="0" w:firstColumn="0" w:lastColumn="0" w:oddVBand="0" w:evenVBand="0" w:oddHBand="0" w:evenHBand="1" w:firstRowFirstColumn="0" w:firstRowLastColumn="0" w:lastRowFirstColumn="0" w:lastRowLastColumn="0"/>
            </w:pPr>
          </w:p>
        </w:tc>
      </w:tr>
      <w:tr w:rsidR="00FB7CEC" w:rsidTr="008C3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tcPr>
          <w:p w:rsidR="00FB7CEC" w:rsidRPr="00FB7CEC" w:rsidRDefault="00FB7CEC" w:rsidP="00FB7CEC">
            <w:pPr>
              <w:rPr>
                <w:rFonts w:asciiTheme="minorHAnsi" w:hAnsiTheme="minorHAnsi"/>
                <w:b w:val="0"/>
              </w:rPr>
            </w:pPr>
            <w:r>
              <w:rPr>
                <w:rFonts w:asciiTheme="minorHAnsi" w:hAnsiTheme="minorHAnsi"/>
              </w:rPr>
              <w:t>Group D:</w:t>
            </w:r>
            <w:r>
              <w:rPr>
                <w:rFonts w:asciiTheme="minorHAnsi" w:hAnsiTheme="minorHAnsi"/>
                <w:b w:val="0"/>
              </w:rPr>
              <w:t xml:space="preserve"> Planning for financial sustainability</w:t>
            </w:r>
          </w:p>
        </w:tc>
        <w:tc>
          <w:tcPr>
            <w:tcW w:w="2835" w:type="dxa"/>
          </w:tcPr>
          <w:p w:rsidR="00FB7CEC" w:rsidRDefault="00FB7CEC" w:rsidP="005631C0">
            <w:pPr>
              <w:cnfStyle w:val="000000100000" w:firstRow="0" w:lastRow="0" w:firstColumn="0" w:lastColumn="0" w:oddVBand="0" w:evenVBand="0" w:oddHBand="1" w:evenHBand="0" w:firstRowFirstColumn="0" w:firstRowLastColumn="0" w:lastRowFirstColumn="0" w:lastRowLastColumn="0"/>
            </w:pPr>
          </w:p>
        </w:tc>
        <w:tc>
          <w:tcPr>
            <w:tcW w:w="2835" w:type="dxa"/>
          </w:tcPr>
          <w:p w:rsidR="00FB7CEC" w:rsidRDefault="00FB7CEC" w:rsidP="005631C0">
            <w:pPr>
              <w:cnfStyle w:val="000000100000" w:firstRow="0" w:lastRow="0" w:firstColumn="0" w:lastColumn="0" w:oddVBand="0" w:evenVBand="0" w:oddHBand="1" w:evenHBand="0" w:firstRowFirstColumn="0" w:firstRowLastColumn="0" w:lastRowFirstColumn="0" w:lastRowLastColumn="0"/>
            </w:pPr>
          </w:p>
        </w:tc>
        <w:tc>
          <w:tcPr>
            <w:tcW w:w="2835" w:type="dxa"/>
          </w:tcPr>
          <w:p w:rsidR="00FB7CEC" w:rsidRDefault="00FB7CEC" w:rsidP="005631C0">
            <w:pPr>
              <w:cnfStyle w:val="000000100000" w:firstRow="0" w:lastRow="0" w:firstColumn="0" w:lastColumn="0" w:oddVBand="0" w:evenVBand="0" w:oddHBand="1" w:evenHBand="0" w:firstRowFirstColumn="0" w:firstRowLastColumn="0" w:lastRowFirstColumn="0" w:lastRowLastColumn="0"/>
            </w:pPr>
          </w:p>
        </w:tc>
        <w:tc>
          <w:tcPr>
            <w:tcW w:w="2835" w:type="dxa"/>
          </w:tcPr>
          <w:p w:rsidR="00FB7CEC" w:rsidRDefault="00FB7CEC" w:rsidP="005631C0">
            <w:pPr>
              <w:cnfStyle w:val="000000100000" w:firstRow="0" w:lastRow="0" w:firstColumn="0" w:lastColumn="0" w:oddVBand="0" w:evenVBand="0" w:oddHBand="1" w:evenHBand="0" w:firstRowFirstColumn="0" w:firstRowLastColumn="0" w:lastRowFirstColumn="0" w:lastRowLastColumn="0"/>
            </w:pPr>
          </w:p>
        </w:tc>
      </w:tr>
    </w:tbl>
    <w:p w:rsidR="005631C0" w:rsidRPr="005631C0" w:rsidRDefault="005631C0" w:rsidP="005631C0"/>
    <w:sectPr w:rsidR="005631C0" w:rsidRPr="005631C0" w:rsidSect="00A9083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4AA" w:rsidRDefault="00C454AA" w:rsidP="005A71EE">
      <w:pPr>
        <w:spacing w:after="0" w:line="240" w:lineRule="auto"/>
      </w:pPr>
      <w:r>
        <w:separator/>
      </w:r>
    </w:p>
  </w:endnote>
  <w:endnote w:type="continuationSeparator" w:id="0">
    <w:p w:rsidR="00C454AA" w:rsidRDefault="00C454AA" w:rsidP="005A7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4AA" w:rsidRDefault="00C454AA" w:rsidP="005A71EE">
      <w:pPr>
        <w:spacing w:after="0" w:line="240" w:lineRule="auto"/>
      </w:pPr>
      <w:r>
        <w:separator/>
      </w:r>
    </w:p>
  </w:footnote>
  <w:footnote w:type="continuationSeparator" w:id="0">
    <w:p w:rsidR="00C454AA" w:rsidRDefault="00C454AA" w:rsidP="005A71EE">
      <w:pPr>
        <w:spacing w:after="0" w:line="240" w:lineRule="auto"/>
      </w:pPr>
      <w:r>
        <w:continuationSeparator/>
      </w:r>
    </w:p>
  </w:footnote>
  <w:footnote w:id="1">
    <w:p w:rsidR="00A90836" w:rsidRPr="008C5689" w:rsidRDefault="00A90836" w:rsidP="00B535A8">
      <w:pPr>
        <w:spacing w:line="360" w:lineRule="auto"/>
        <w:rPr>
          <w:lang w:val="en-GB"/>
        </w:rPr>
      </w:pPr>
      <w:r w:rsidRPr="008C5689">
        <w:rPr>
          <w:rStyle w:val="FootnoteReference"/>
          <w:sz w:val="20"/>
          <w:szCs w:val="20"/>
        </w:rPr>
        <w:footnoteRef/>
      </w:r>
      <w:r w:rsidRPr="008C5689">
        <w:rPr>
          <w:sz w:val="20"/>
          <w:szCs w:val="20"/>
        </w:rPr>
        <w:t xml:space="preserve"> A protected area is “a clearly defined geographical space, recognized, dedicated and managed, through legal or other effective means, to achieve the long-term conservation of nature with associated ecosystem services and cultural values.” (Dudley,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4B44"/>
    <w:multiLevelType w:val="hybridMultilevel"/>
    <w:tmpl w:val="EE2251B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07DA617B"/>
    <w:multiLevelType w:val="multilevel"/>
    <w:tmpl w:val="063A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060192"/>
    <w:multiLevelType w:val="hybridMultilevel"/>
    <w:tmpl w:val="D696D6E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nsid w:val="1D753EDF"/>
    <w:multiLevelType w:val="hybridMultilevel"/>
    <w:tmpl w:val="9030E352"/>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nsid w:val="1F2B622B"/>
    <w:multiLevelType w:val="hybridMultilevel"/>
    <w:tmpl w:val="658E4D9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nsid w:val="24CF59AF"/>
    <w:multiLevelType w:val="hybridMultilevel"/>
    <w:tmpl w:val="B3DC9BD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nsid w:val="31AE0D2C"/>
    <w:multiLevelType w:val="hybridMultilevel"/>
    <w:tmpl w:val="F45894D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nsid w:val="3A71433E"/>
    <w:multiLevelType w:val="hybridMultilevel"/>
    <w:tmpl w:val="AAEE03F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8">
    <w:nsid w:val="3B445A1B"/>
    <w:multiLevelType w:val="hybridMultilevel"/>
    <w:tmpl w:val="87FA0DB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nsid w:val="3D0F1929"/>
    <w:multiLevelType w:val="hybridMultilevel"/>
    <w:tmpl w:val="5CE2CC10"/>
    <w:lvl w:ilvl="0" w:tplc="60921EF8">
      <w:start w:val="1"/>
      <w:numFmt w:val="decimal"/>
      <w:lvlText w:val="%1."/>
      <w:lvlJc w:val="left"/>
      <w:pPr>
        <w:ind w:left="720" w:hanging="360"/>
      </w:pPr>
      <w:rPr>
        <w:rFonts w:hint="default"/>
        <w:b/>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0">
    <w:nsid w:val="3D750289"/>
    <w:multiLevelType w:val="hybridMultilevel"/>
    <w:tmpl w:val="C51EA2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454B0CC1"/>
    <w:multiLevelType w:val="hybridMultilevel"/>
    <w:tmpl w:val="2228E26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nsid w:val="4A3F2071"/>
    <w:multiLevelType w:val="hybridMultilevel"/>
    <w:tmpl w:val="9B00B52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3">
    <w:nsid w:val="4C050DB2"/>
    <w:multiLevelType w:val="hybridMultilevel"/>
    <w:tmpl w:val="C68095A2"/>
    <w:lvl w:ilvl="0" w:tplc="00170409">
      <w:start w:val="1"/>
      <w:numFmt w:val="lowerLetter"/>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4">
    <w:nsid w:val="4C8014AA"/>
    <w:multiLevelType w:val="hybridMultilevel"/>
    <w:tmpl w:val="E5A23AF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nsid w:val="596E06E1"/>
    <w:multiLevelType w:val="hybridMultilevel"/>
    <w:tmpl w:val="26280F8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nsid w:val="5E2D3ECD"/>
    <w:multiLevelType w:val="hybridMultilevel"/>
    <w:tmpl w:val="ED18721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nsid w:val="61507787"/>
    <w:multiLevelType w:val="hybridMultilevel"/>
    <w:tmpl w:val="D62A9FB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nsid w:val="79632E51"/>
    <w:multiLevelType w:val="hybridMultilevel"/>
    <w:tmpl w:val="2B744CE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17"/>
  </w:num>
  <w:num w:numId="4">
    <w:abstractNumId w:val="3"/>
  </w:num>
  <w:num w:numId="5">
    <w:abstractNumId w:val="15"/>
  </w:num>
  <w:num w:numId="6">
    <w:abstractNumId w:val="8"/>
  </w:num>
  <w:num w:numId="7">
    <w:abstractNumId w:val="5"/>
  </w:num>
  <w:num w:numId="8">
    <w:abstractNumId w:val="18"/>
  </w:num>
  <w:num w:numId="9">
    <w:abstractNumId w:val="6"/>
  </w:num>
  <w:num w:numId="10">
    <w:abstractNumId w:val="0"/>
  </w:num>
  <w:num w:numId="11">
    <w:abstractNumId w:val="9"/>
  </w:num>
  <w:num w:numId="12">
    <w:abstractNumId w:val="13"/>
  </w:num>
  <w:num w:numId="13">
    <w:abstractNumId w:val="7"/>
  </w:num>
  <w:num w:numId="14">
    <w:abstractNumId w:val="12"/>
  </w:num>
  <w:num w:numId="15">
    <w:abstractNumId w:val="16"/>
  </w:num>
  <w:num w:numId="16">
    <w:abstractNumId w:val="10"/>
  </w:num>
  <w:num w:numId="17">
    <w:abstractNumId w:val="14"/>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CE5"/>
    <w:rsid w:val="0012626E"/>
    <w:rsid w:val="00355CE5"/>
    <w:rsid w:val="003C374D"/>
    <w:rsid w:val="00476A39"/>
    <w:rsid w:val="00513A75"/>
    <w:rsid w:val="005631C0"/>
    <w:rsid w:val="005A71EE"/>
    <w:rsid w:val="005C7052"/>
    <w:rsid w:val="00657018"/>
    <w:rsid w:val="00670646"/>
    <w:rsid w:val="006E2862"/>
    <w:rsid w:val="00791B53"/>
    <w:rsid w:val="007D6F21"/>
    <w:rsid w:val="008B0042"/>
    <w:rsid w:val="008C3F01"/>
    <w:rsid w:val="0091424A"/>
    <w:rsid w:val="00924531"/>
    <w:rsid w:val="00A13D02"/>
    <w:rsid w:val="00A45658"/>
    <w:rsid w:val="00A90836"/>
    <w:rsid w:val="00A95DE9"/>
    <w:rsid w:val="00AE7180"/>
    <w:rsid w:val="00B376EE"/>
    <w:rsid w:val="00B535A8"/>
    <w:rsid w:val="00C271E2"/>
    <w:rsid w:val="00C454AA"/>
    <w:rsid w:val="00CC488C"/>
    <w:rsid w:val="00CC703A"/>
    <w:rsid w:val="00D2147F"/>
    <w:rsid w:val="00D97987"/>
    <w:rsid w:val="00DD1A85"/>
    <w:rsid w:val="00EA56B5"/>
    <w:rsid w:val="00ED76B6"/>
    <w:rsid w:val="00EE1FAF"/>
    <w:rsid w:val="00EE26D3"/>
    <w:rsid w:val="00EE2EFA"/>
    <w:rsid w:val="00F270E2"/>
    <w:rsid w:val="00F27E9F"/>
    <w:rsid w:val="00F66C06"/>
    <w:rsid w:val="00FB7CE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7052"/>
    <w:pPr>
      <w:keepNext/>
      <w:keepLines/>
      <w:spacing w:before="480" w:after="0"/>
      <w:outlineLvl w:val="0"/>
    </w:pPr>
    <w:rPr>
      <w:rFonts w:asciiTheme="majorHAnsi" w:eastAsiaTheme="majorEastAsia" w:hAnsiTheme="majorHAnsi" w:cstheme="majorBidi"/>
      <w:b/>
      <w:bCs/>
      <w:color w:val="4F6228" w:themeColor="accent3" w:themeShade="80"/>
      <w:sz w:val="28"/>
      <w:szCs w:val="28"/>
    </w:rPr>
  </w:style>
  <w:style w:type="paragraph" w:styleId="Heading2">
    <w:name w:val="heading 2"/>
    <w:basedOn w:val="Normal"/>
    <w:next w:val="Normal"/>
    <w:link w:val="Heading2Char"/>
    <w:uiPriority w:val="9"/>
    <w:unhideWhenUsed/>
    <w:qFormat/>
    <w:rsid w:val="005C7052"/>
    <w:pPr>
      <w:keepNext/>
      <w:keepLines/>
      <w:spacing w:before="200" w:after="0"/>
      <w:outlineLvl w:val="1"/>
    </w:pPr>
    <w:rPr>
      <w:rFonts w:asciiTheme="majorHAnsi" w:eastAsiaTheme="majorEastAsia" w:hAnsiTheme="majorHAnsi" w:cstheme="majorBidi"/>
      <w:b/>
      <w:bCs/>
      <w:color w:val="4F6228" w:themeColor="accent3" w:themeShade="80"/>
      <w:sz w:val="26"/>
      <w:szCs w:val="26"/>
    </w:rPr>
  </w:style>
  <w:style w:type="paragraph" w:styleId="Heading3">
    <w:name w:val="heading 3"/>
    <w:basedOn w:val="Normal"/>
    <w:next w:val="Normal"/>
    <w:link w:val="Heading3Char"/>
    <w:uiPriority w:val="9"/>
    <w:unhideWhenUsed/>
    <w:qFormat/>
    <w:rsid w:val="005C7052"/>
    <w:pPr>
      <w:keepNext/>
      <w:keepLines/>
      <w:spacing w:before="200" w:after="0"/>
      <w:outlineLvl w:val="2"/>
    </w:pPr>
    <w:rPr>
      <w:rFonts w:asciiTheme="majorHAnsi" w:eastAsiaTheme="majorEastAsia" w:hAnsiTheme="majorHAnsi" w:cstheme="majorBidi"/>
      <w:b/>
      <w:bCs/>
      <w:color w:val="4F6228" w:themeColor="accent3"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7052"/>
    <w:pPr>
      <w:pBdr>
        <w:bottom w:val="single" w:sz="8" w:space="4" w:color="4F6228" w:themeColor="accent3" w:themeShade="80"/>
      </w:pBdr>
      <w:spacing w:after="300" w:line="240" w:lineRule="auto"/>
      <w:contextualSpacing/>
    </w:pPr>
    <w:rPr>
      <w:rFonts w:asciiTheme="majorHAnsi" w:eastAsiaTheme="majorEastAsia" w:hAnsiTheme="majorHAnsi" w:cstheme="majorBidi"/>
      <w:color w:val="4F6228" w:themeColor="accent3" w:themeShade="80"/>
      <w:spacing w:val="5"/>
      <w:kern w:val="28"/>
      <w:sz w:val="52"/>
      <w:szCs w:val="52"/>
    </w:rPr>
  </w:style>
  <w:style w:type="character" w:customStyle="1" w:styleId="TitleChar">
    <w:name w:val="Title Char"/>
    <w:basedOn w:val="DefaultParagraphFont"/>
    <w:link w:val="Title"/>
    <w:uiPriority w:val="10"/>
    <w:rsid w:val="005C7052"/>
    <w:rPr>
      <w:rFonts w:asciiTheme="majorHAnsi" w:eastAsiaTheme="majorEastAsia" w:hAnsiTheme="majorHAnsi" w:cstheme="majorBidi"/>
      <w:color w:val="4F6228" w:themeColor="accent3" w:themeShade="80"/>
      <w:spacing w:val="5"/>
      <w:kern w:val="28"/>
      <w:sz w:val="52"/>
      <w:szCs w:val="52"/>
    </w:rPr>
  </w:style>
  <w:style w:type="character" w:customStyle="1" w:styleId="Heading1Char">
    <w:name w:val="Heading 1 Char"/>
    <w:basedOn w:val="DefaultParagraphFont"/>
    <w:link w:val="Heading1"/>
    <w:uiPriority w:val="9"/>
    <w:rsid w:val="005C7052"/>
    <w:rPr>
      <w:rFonts w:asciiTheme="majorHAnsi" w:eastAsiaTheme="majorEastAsia" w:hAnsiTheme="majorHAnsi" w:cstheme="majorBidi"/>
      <w:b/>
      <w:bCs/>
      <w:color w:val="4F6228" w:themeColor="accent3" w:themeShade="80"/>
      <w:sz w:val="28"/>
      <w:szCs w:val="28"/>
    </w:rPr>
  </w:style>
  <w:style w:type="character" w:customStyle="1" w:styleId="Heading2Char">
    <w:name w:val="Heading 2 Char"/>
    <w:basedOn w:val="DefaultParagraphFont"/>
    <w:link w:val="Heading2"/>
    <w:uiPriority w:val="9"/>
    <w:rsid w:val="005C7052"/>
    <w:rPr>
      <w:rFonts w:asciiTheme="majorHAnsi" w:eastAsiaTheme="majorEastAsia" w:hAnsiTheme="majorHAnsi" w:cstheme="majorBidi"/>
      <w:b/>
      <w:bCs/>
      <w:color w:val="4F6228" w:themeColor="accent3" w:themeShade="80"/>
      <w:sz w:val="26"/>
      <w:szCs w:val="26"/>
    </w:rPr>
  </w:style>
  <w:style w:type="character" w:customStyle="1" w:styleId="Heading3Char">
    <w:name w:val="Heading 3 Char"/>
    <w:basedOn w:val="DefaultParagraphFont"/>
    <w:link w:val="Heading3"/>
    <w:uiPriority w:val="9"/>
    <w:rsid w:val="005C7052"/>
    <w:rPr>
      <w:rFonts w:asciiTheme="majorHAnsi" w:eastAsiaTheme="majorEastAsia" w:hAnsiTheme="majorHAnsi" w:cstheme="majorBidi"/>
      <w:b/>
      <w:bCs/>
      <w:color w:val="4F6228" w:themeColor="accent3" w:themeShade="80"/>
    </w:rPr>
  </w:style>
  <w:style w:type="paragraph" w:styleId="FootnoteText">
    <w:name w:val="footnote text"/>
    <w:basedOn w:val="Normal"/>
    <w:link w:val="FootnoteTextChar"/>
    <w:uiPriority w:val="99"/>
    <w:semiHidden/>
    <w:unhideWhenUsed/>
    <w:rsid w:val="005A71EE"/>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semiHidden/>
    <w:rsid w:val="005A71EE"/>
    <w:rPr>
      <w:rFonts w:eastAsiaTheme="minorEastAsia"/>
      <w:sz w:val="20"/>
      <w:szCs w:val="20"/>
      <w:lang w:val="en-US"/>
    </w:rPr>
  </w:style>
  <w:style w:type="character" w:styleId="FootnoteReference">
    <w:name w:val="footnote reference"/>
    <w:basedOn w:val="DefaultParagraphFont"/>
    <w:uiPriority w:val="99"/>
    <w:semiHidden/>
    <w:unhideWhenUsed/>
    <w:rsid w:val="005A71EE"/>
    <w:rPr>
      <w:vertAlign w:val="superscript"/>
    </w:rPr>
  </w:style>
  <w:style w:type="character" w:styleId="CommentReference">
    <w:name w:val="annotation reference"/>
    <w:basedOn w:val="DefaultParagraphFont"/>
    <w:uiPriority w:val="99"/>
    <w:semiHidden/>
    <w:unhideWhenUsed/>
    <w:rsid w:val="00B535A8"/>
    <w:rPr>
      <w:sz w:val="16"/>
      <w:szCs w:val="16"/>
    </w:rPr>
  </w:style>
  <w:style w:type="paragraph" w:styleId="CommentText">
    <w:name w:val="annotation text"/>
    <w:basedOn w:val="Normal"/>
    <w:link w:val="CommentTextChar"/>
    <w:uiPriority w:val="99"/>
    <w:semiHidden/>
    <w:unhideWhenUsed/>
    <w:rsid w:val="00B535A8"/>
    <w:pPr>
      <w:spacing w:after="0" w:line="240" w:lineRule="auto"/>
    </w:pPr>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B535A8"/>
    <w:rPr>
      <w:rFonts w:eastAsiaTheme="minorEastAsia"/>
      <w:sz w:val="20"/>
      <w:szCs w:val="20"/>
      <w:lang w:val="en-US"/>
    </w:rPr>
  </w:style>
  <w:style w:type="paragraph" w:styleId="BalloonText">
    <w:name w:val="Balloon Text"/>
    <w:basedOn w:val="Normal"/>
    <w:link w:val="BalloonTextChar"/>
    <w:uiPriority w:val="99"/>
    <w:semiHidden/>
    <w:unhideWhenUsed/>
    <w:rsid w:val="00B53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5A8"/>
    <w:rPr>
      <w:rFonts w:ascii="Tahoma" w:hAnsi="Tahoma" w:cs="Tahoma"/>
      <w:sz w:val="16"/>
      <w:szCs w:val="16"/>
    </w:rPr>
  </w:style>
  <w:style w:type="paragraph" w:styleId="ListParagraph">
    <w:name w:val="List Paragraph"/>
    <w:basedOn w:val="Normal"/>
    <w:uiPriority w:val="34"/>
    <w:qFormat/>
    <w:rsid w:val="00DD1A85"/>
    <w:pPr>
      <w:ind w:left="720"/>
      <w:contextualSpacing/>
    </w:pPr>
  </w:style>
  <w:style w:type="table" w:styleId="TableGrid">
    <w:name w:val="Table Grid"/>
    <w:basedOn w:val="TableNormal"/>
    <w:uiPriority w:val="59"/>
    <w:rsid w:val="00AE7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E7180"/>
    <w:rPr>
      <w:color w:val="0000FF"/>
      <w:u w:val="single"/>
    </w:rPr>
  </w:style>
  <w:style w:type="table" w:styleId="LightGrid-Accent3">
    <w:name w:val="Light Grid Accent 3"/>
    <w:basedOn w:val="TableNormal"/>
    <w:uiPriority w:val="62"/>
    <w:rsid w:val="005C7052"/>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7052"/>
    <w:pPr>
      <w:keepNext/>
      <w:keepLines/>
      <w:spacing w:before="480" w:after="0"/>
      <w:outlineLvl w:val="0"/>
    </w:pPr>
    <w:rPr>
      <w:rFonts w:asciiTheme="majorHAnsi" w:eastAsiaTheme="majorEastAsia" w:hAnsiTheme="majorHAnsi" w:cstheme="majorBidi"/>
      <w:b/>
      <w:bCs/>
      <w:color w:val="4F6228" w:themeColor="accent3" w:themeShade="80"/>
      <w:sz w:val="28"/>
      <w:szCs w:val="28"/>
    </w:rPr>
  </w:style>
  <w:style w:type="paragraph" w:styleId="Heading2">
    <w:name w:val="heading 2"/>
    <w:basedOn w:val="Normal"/>
    <w:next w:val="Normal"/>
    <w:link w:val="Heading2Char"/>
    <w:uiPriority w:val="9"/>
    <w:unhideWhenUsed/>
    <w:qFormat/>
    <w:rsid w:val="005C7052"/>
    <w:pPr>
      <w:keepNext/>
      <w:keepLines/>
      <w:spacing w:before="200" w:after="0"/>
      <w:outlineLvl w:val="1"/>
    </w:pPr>
    <w:rPr>
      <w:rFonts w:asciiTheme="majorHAnsi" w:eastAsiaTheme="majorEastAsia" w:hAnsiTheme="majorHAnsi" w:cstheme="majorBidi"/>
      <w:b/>
      <w:bCs/>
      <w:color w:val="4F6228" w:themeColor="accent3" w:themeShade="80"/>
      <w:sz w:val="26"/>
      <w:szCs w:val="26"/>
    </w:rPr>
  </w:style>
  <w:style w:type="paragraph" w:styleId="Heading3">
    <w:name w:val="heading 3"/>
    <w:basedOn w:val="Normal"/>
    <w:next w:val="Normal"/>
    <w:link w:val="Heading3Char"/>
    <w:uiPriority w:val="9"/>
    <w:unhideWhenUsed/>
    <w:qFormat/>
    <w:rsid w:val="005C7052"/>
    <w:pPr>
      <w:keepNext/>
      <w:keepLines/>
      <w:spacing w:before="200" w:after="0"/>
      <w:outlineLvl w:val="2"/>
    </w:pPr>
    <w:rPr>
      <w:rFonts w:asciiTheme="majorHAnsi" w:eastAsiaTheme="majorEastAsia" w:hAnsiTheme="majorHAnsi" w:cstheme="majorBidi"/>
      <w:b/>
      <w:bCs/>
      <w:color w:val="4F6228" w:themeColor="accent3"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7052"/>
    <w:pPr>
      <w:pBdr>
        <w:bottom w:val="single" w:sz="8" w:space="4" w:color="4F6228" w:themeColor="accent3" w:themeShade="80"/>
      </w:pBdr>
      <w:spacing w:after="300" w:line="240" w:lineRule="auto"/>
      <w:contextualSpacing/>
    </w:pPr>
    <w:rPr>
      <w:rFonts w:asciiTheme="majorHAnsi" w:eastAsiaTheme="majorEastAsia" w:hAnsiTheme="majorHAnsi" w:cstheme="majorBidi"/>
      <w:color w:val="4F6228" w:themeColor="accent3" w:themeShade="80"/>
      <w:spacing w:val="5"/>
      <w:kern w:val="28"/>
      <w:sz w:val="52"/>
      <w:szCs w:val="52"/>
    </w:rPr>
  </w:style>
  <w:style w:type="character" w:customStyle="1" w:styleId="TitleChar">
    <w:name w:val="Title Char"/>
    <w:basedOn w:val="DefaultParagraphFont"/>
    <w:link w:val="Title"/>
    <w:uiPriority w:val="10"/>
    <w:rsid w:val="005C7052"/>
    <w:rPr>
      <w:rFonts w:asciiTheme="majorHAnsi" w:eastAsiaTheme="majorEastAsia" w:hAnsiTheme="majorHAnsi" w:cstheme="majorBidi"/>
      <w:color w:val="4F6228" w:themeColor="accent3" w:themeShade="80"/>
      <w:spacing w:val="5"/>
      <w:kern w:val="28"/>
      <w:sz w:val="52"/>
      <w:szCs w:val="52"/>
    </w:rPr>
  </w:style>
  <w:style w:type="character" w:customStyle="1" w:styleId="Heading1Char">
    <w:name w:val="Heading 1 Char"/>
    <w:basedOn w:val="DefaultParagraphFont"/>
    <w:link w:val="Heading1"/>
    <w:uiPriority w:val="9"/>
    <w:rsid w:val="005C7052"/>
    <w:rPr>
      <w:rFonts w:asciiTheme="majorHAnsi" w:eastAsiaTheme="majorEastAsia" w:hAnsiTheme="majorHAnsi" w:cstheme="majorBidi"/>
      <w:b/>
      <w:bCs/>
      <w:color w:val="4F6228" w:themeColor="accent3" w:themeShade="80"/>
      <w:sz w:val="28"/>
      <w:szCs w:val="28"/>
    </w:rPr>
  </w:style>
  <w:style w:type="character" w:customStyle="1" w:styleId="Heading2Char">
    <w:name w:val="Heading 2 Char"/>
    <w:basedOn w:val="DefaultParagraphFont"/>
    <w:link w:val="Heading2"/>
    <w:uiPriority w:val="9"/>
    <w:rsid w:val="005C7052"/>
    <w:rPr>
      <w:rFonts w:asciiTheme="majorHAnsi" w:eastAsiaTheme="majorEastAsia" w:hAnsiTheme="majorHAnsi" w:cstheme="majorBidi"/>
      <w:b/>
      <w:bCs/>
      <w:color w:val="4F6228" w:themeColor="accent3" w:themeShade="80"/>
      <w:sz w:val="26"/>
      <w:szCs w:val="26"/>
    </w:rPr>
  </w:style>
  <w:style w:type="character" w:customStyle="1" w:styleId="Heading3Char">
    <w:name w:val="Heading 3 Char"/>
    <w:basedOn w:val="DefaultParagraphFont"/>
    <w:link w:val="Heading3"/>
    <w:uiPriority w:val="9"/>
    <w:rsid w:val="005C7052"/>
    <w:rPr>
      <w:rFonts w:asciiTheme="majorHAnsi" w:eastAsiaTheme="majorEastAsia" w:hAnsiTheme="majorHAnsi" w:cstheme="majorBidi"/>
      <w:b/>
      <w:bCs/>
      <w:color w:val="4F6228" w:themeColor="accent3" w:themeShade="80"/>
    </w:rPr>
  </w:style>
  <w:style w:type="paragraph" w:styleId="FootnoteText">
    <w:name w:val="footnote text"/>
    <w:basedOn w:val="Normal"/>
    <w:link w:val="FootnoteTextChar"/>
    <w:uiPriority w:val="99"/>
    <w:semiHidden/>
    <w:unhideWhenUsed/>
    <w:rsid w:val="005A71EE"/>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semiHidden/>
    <w:rsid w:val="005A71EE"/>
    <w:rPr>
      <w:rFonts w:eastAsiaTheme="minorEastAsia"/>
      <w:sz w:val="20"/>
      <w:szCs w:val="20"/>
      <w:lang w:val="en-US"/>
    </w:rPr>
  </w:style>
  <w:style w:type="character" w:styleId="FootnoteReference">
    <w:name w:val="footnote reference"/>
    <w:basedOn w:val="DefaultParagraphFont"/>
    <w:uiPriority w:val="99"/>
    <w:semiHidden/>
    <w:unhideWhenUsed/>
    <w:rsid w:val="005A71EE"/>
    <w:rPr>
      <w:vertAlign w:val="superscript"/>
    </w:rPr>
  </w:style>
  <w:style w:type="character" w:styleId="CommentReference">
    <w:name w:val="annotation reference"/>
    <w:basedOn w:val="DefaultParagraphFont"/>
    <w:uiPriority w:val="99"/>
    <w:semiHidden/>
    <w:unhideWhenUsed/>
    <w:rsid w:val="00B535A8"/>
    <w:rPr>
      <w:sz w:val="16"/>
      <w:szCs w:val="16"/>
    </w:rPr>
  </w:style>
  <w:style w:type="paragraph" w:styleId="CommentText">
    <w:name w:val="annotation text"/>
    <w:basedOn w:val="Normal"/>
    <w:link w:val="CommentTextChar"/>
    <w:uiPriority w:val="99"/>
    <w:semiHidden/>
    <w:unhideWhenUsed/>
    <w:rsid w:val="00B535A8"/>
    <w:pPr>
      <w:spacing w:after="0" w:line="240" w:lineRule="auto"/>
    </w:pPr>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B535A8"/>
    <w:rPr>
      <w:rFonts w:eastAsiaTheme="minorEastAsia"/>
      <w:sz w:val="20"/>
      <w:szCs w:val="20"/>
      <w:lang w:val="en-US"/>
    </w:rPr>
  </w:style>
  <w:style w:type="paragraph" w:styleId="BalloonText">
    <w:name w:val="Balloon Text"/>
    <w:basedOn w:val="Normal"/>
    <w:link w:val="BalloonTextChar"/>
    <w:uiPriority w:val="99"/>
    <w:semiHidden/>
    <w:unhideWhenUsed/>
    <w:rsid w:val="00B53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5A8"/>
    <w:rPr>
      <w:rFonts w:ascii="Tahoma" w:hAnsi="Tahoma" w:cs="Tahoma"/>
      <w:sz w:val="16"/>
      <w:szCs w:val="16"/>
    </w:rPr>
  </w:style>
  <w:style w:type="paragraph" w:styleId="ListParagraph">
    <w:name w:val="List Paragraph"/>
    <w:basedOn w:val="Normal"/>
    <w:uiPriority w:val="34"/>
    <w:qFormat/>
    <w:rsid w:val="00DD1A85"/>
    <w:pPr>
      <w:ind w:left="720"/>
      <w:contextualSpacing/>
    </w:pPr>
  </w:style>
  <w:style w:type="table" w:styleId="TableGrid">
    <w:name w:val="Table Grid"/>
    <w:basedOn w:val="TableNormal"/>
    <w:uiPriority w:val="59"/>
    <w:rsid w:val="00AE7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E7180"/>
    <w:rPr>
      <w:color w:val="0000FF"/>
      <w:u w:val="single"/>
    </w:rPr>
  </w:style>
  <w:style w:type="table" w:styleId="LightGrid-Accent3">
    <w:name w:val="Light Grid Accent 3"/>
    <w:basedOn w:val="TableNormal"/>
    <w:uiPriority w:val="62"/>
    <w:rsid w:val="005C7052"/>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61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cn.org/knowledge/publications_doc/publications/?uPubsID=478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1023</TotalTime>
  <Pages>14</Pages>
  <Words>3580</Words>
  <Characters>20408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Kevan Zunkel</dc:creator>
  <cp:lastModifiedBy>Kevan Zunkel</cp:lastModifiedBy>
  <cp:revision>7</cp:revision>
  <dcterms:created xsi:type="dcterms:W3CDTF">2014-04-14T09:19:00Z</dcterms:created>
  <dcterms:modified xsi:type="dcterms:W3CDTF">2014-04-15T14:20:00Z</dcterms:modified>
</cp:coreProperties>
</file>